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d031" w14:textId="0b5d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тридцать пятой сессии Маслихата города Актобе от 26 декабря 2006 года N 303. Зарегистрировано в Управлении юстиции города Актобе 17 января 2007 года за N 3-1-66. Утратило силу решением маслихата города Актобе Актюбинской области от 24 декабря 2009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Актобе Актюбинской области от 24.12.2009 №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Заголовок в редакции решения маслихата города Актобе от 22.12.2008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за N 1016 от 23 октября 2006 года "Об утверждении размеров минимальных и максимальных базовых ставок фиксированного суммарного налога", статьями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размеры ставок налога по городу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утратившими силу решения двенадцатой сессии маслихата города Актобе от 20 декабря 2001 года N 118 "Об утверждении ставок на отдельные виды налогов" (регистрационный N 1461 от 1 февраля 2002 года), очередной четвертой сессии маслихата N 30 от 24 декабря 2003 года "О внесении изменений в решение двенадцатой сессии маслихата от 20 декабря 2001 года N 118 (регистрационный N 2549 от 2 февраля 2004 года), внеочередной тринадцатой сессии маслихата от 12 ноября 2004 года N 86 "О внесении изменений в решение четвертой сессии маслихата города за N 30 "Об утверждении ставок на отдельные виды налогов (регистрационный N 2983 от 7 декабря 2004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даты регистрации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303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пятой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редакции решения маслихата города Актобе от 22.12.2008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/>
          <w:color w:val="800000"/>
          <w:sz w:val="28"/>
        </w:rPr>
        <w:t xml:space="preserve">). Приложение с изменениями, внесенными решением маслихата города Актобе от 27.10.2009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Размеры ставок фиксированного суммарного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611"/>
        <w:gridCol w:w="3599"/>
      </w:tblGrid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налогообложения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Ставки(в месячных расчетных показателях)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денежнего выигрыша, предназначенный для проведения игры с одним игроком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денежнего выигрыша, предназначенный для проведения игры с участием более одного игрока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 (по боулингу)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</w:t>
      </w:r>
      <w:r>
        <w:rPr>
          <w:rFonts w:ascii="Times New Roman"/>
          <w:b w:val="false"/>
          <w:i w:val="false"/>
          <w:color w:val="000000"/>
          <w:sz w:val="28"/>
        </w:rPr>
        <w:t>: размеры базовых ставок фиксированного налога установлены на единицу объекта налогообложения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