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3f013" w14:textId="863f0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выбора внешних управляющих активами Национального фонда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25 июля 2006 года № 66. Зарегистрировано в Министерстве юстиции Республики Казахстан 1 сентября 2006 года № 4360. Утратило силу постановлением Правления Национального Банка Республики Казахстан от 30 мая 2016 года № 126</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30.05.2016 </w:t>
      </w:r>
      <w:r>
        <w:rPr>
          <w:rFonts w:ascii="Times New Roman"/>
          <w:b w:val="false"/>
          <w:i w:val="false"/>
          <w:color w:val="ff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В целях обеспечения эффективности доверительного управления активами Национального фонда Республики Казахстан, а также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выбора внешних управляющих активами Национального фонда Республики Казахстан.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дней со дня государственной регистрации настоящего постановления в Министерстве юстиции Республики Казахстан, а его действие распространяется на отношения, возникшие с 1 июля 2006 года. </w:t>
      </w:r>
    </w:p>
    <w:bookmarkEnd w:id="2"/>
    <w:bookmarkStart w:name="z4" w:id="3"/>
    <w:p>
      <w:pPr>
        <w:spacing w:after="0"/>
        <w:ind w:left="0"/>
        <w:jc w:val="both"/>
      </w:pPr>
      <w:r>
        <w:rPr>
          <w:rFonts w:ascii="Times New Roman"/>
          <w:b w:val="false"/>
          <w:i w:val="false"/>
          <w:color w:val="000000"/>
          <w:sz w:val="28"/>
        </w:rPr>
        <w:t xml:space="preserve">
      3. Департаменту монетарных операций (Герасименко Ю.В.):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пятидневный срок со дня государственной регистрации в Министерстве юстиции Республики Казахстан довести настоящее постановление до сведения Министерства финансов Республики Казахстан. </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Сартбаева М.М.</w:t>
      </w:r>
    </w:p>
    <w:bookmarkEnd w:id="4"/>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p>
      <w:pPr>
        <w:spacing w:after="0"/>
        <w:ind w:left="0"/>
        <w:jc w:val="both"/>
      </w:pPr>
      <w:r>
        <w:rPr>
          <w:rFonts w:ascii="Times New Roman"/>
          <w:b w:val="false"/>
          <w:i w:val="false"/>
          <w:color w:val="000000"/>
          <w:sz w:val="28"/>
        </w:rPr>
        <w:t>      </w:t>
      </w:r>
      <w:r>
        <w:rPr>
          <w:rFonts w:ascii="Times New Roman"/>
          <w:b w:val="false"/>
          <w:i/>
          <w:color w:val="000000"/>
          <w:sz w:val="28"/>
        </w:rPr>
        <w:t xml:space="preserve">"СОГЛАСОВАНО" </w:t>
      </w:r>
      <w:r>
        <w:br/>
      </w:r>
      <w:r>
        <w:rPr>
          <w:rFonts w:ascii="Times New Roman"/>
          <w:b w:val="false"/>
          <w:i w:val="false"/>
          <w:color w:val="000000"/>
          <w:sz w:val="28"/>
        </w:rPr>
        <w:t>
</w:t>
      </w:r>
      <w:r>
        <w:rPr>
          <w:rFonts w:ascii="Times New Roman"/>
          <w:b w:val="false"/>
          <w:i/>
          <w:color w:val="000000"/>
          <w:sz w:val="28"/>
        </w:rPr>
        <w:t xml:space="preserve">      Министр финансов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xml:space="preserve">      8 августа 2006 года </w:t>
      </w:r>
    </w:p>
    <w:bookmarkStart w:name="z6" w:id="5"/>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 66 </w:t>
      </w:r>
    </w:p>
    <w:bookmarkEnd w:id="5"/>
    <w:bookmarkStart w:name="z7" w:id="6"/>
    <w:p>
      <w:pPr>
        <w:spacing w:after="0"/>
        <w:ind w:left="0"/>
        <w:jc w:val="left"/>
      </w:pPr>
      <w:r>
        <w:rPr>
          <w:rFonts w:ascii="Times New Roman"/>
          <w:b/>
          <w:i w:val="false"/>
          <w:color w:val="000000"/>
        </w:rPr>
        <w:t xml:space="preserve"> 
  Правила выбора внешних управляющих активами </w:t>
      </w:r>
      <w:r>
        <w:br/>
      </w:r>
      <w:r>
        <w:rPr>
          <w:rFonts w:ascii="Times New Roman"/>
          <w:b/>
          <w:i w:val="false"/>
          <w:color w:val="000000"/>
        </w:rPr>
        <w:t xml:space="preserve">
Национального фонда Республики Казахстан  1. Общие положения </w:t>
      </w:r>
    </w:p>
    <w:bookmarkEnd w:id="6"/>
    <w:p>
      <w:pPr>
        <w:spacing w:after="0"/>
        <w:ind w:left="0"/>
        <w:jc w:val="both"/>
      </w:pPr>
      <w:r>
        <w:rPr>
          <w:rFonts w:ascii="Times New Roman"/>
          <w:b w:val="false"/>
          <w:i w:val="false"/>
          <w:color w:val="ff0000"/>
          <w:sz w:val="28"/>
        </w:rPr>
        <w:t xml:space="preserve">      Сноска. Заголовок главы 1 в редакции постановления Правления Национального Банка РК от 24.12.2014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7"/>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и регулируют общий порядок и условия передачи части активов Национального фонда Республики Казахстан (далее - Фонд) во внешнее или внешнее транзитное управление зарубежным банкам и специализированным организациям по управлению активами.</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24.12.2014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
    <w:bookmarkStart w:name="z9" w:id="8"/>
    <w:p>
      <w:pPr>
        <w:spacing w:after="0"/>
        <w:ind w:left="0"/>
        <w:jc w:val="both"/>
      </w:pPr>
      <w:r>
        <w:rPr>
          <w:rFonts w:ascii="Times New Roman"/>
          <w:b w:val="false"/>
          <w:i w:val="false"/>
          <w:color w:val="000000"/>
          <w:sz w:val="28"/>
        </w:rPr>
        <w:t xml:space="preserve">
      2. Часть Фонда во внешнее управление передается для: </w:t>
      </w:r>
      <w:r>
        <w:br/>
      </w:r>
      <w:r>
        <w:rPr>
          <w:rFonts w:ascii="Times New Roman"/>
          <w:b w:val="false"/>
          <w:i w:val="false"/>
          <w:color w:val="000000"/>
          <w:sz w:val="28"/>
        </w:rPr>
        <w:t>
</w:t>
      </w:r>
      <w:r>
        <w:rPr>
          <w:rFonts w:ascii="Times New Roman"/>
          <w:b w:val="false"/>
          <w:i w:val="false"/>
          <w:color w:val="000000"/>
          <w:sz w:val="28"/>
        </w:rPr>
        <w:t xml:space="preserve">
      1) снижения уровня рисков, связанных с управлением, вследствие диверсификации управления; </w:t>
      </w:r>
      <w:r>
        <w:br/>
      </w:r>
      <w:r>
        <w:rPr>
          <w:rFonts w:ascii="Times New Roman"/>
          <w:b w:val="false"/>
          <w:i w:val="false"/>
          <w:color w:val="000000"/>
          <w:sz w:val="28"/>
        </w:rPr>
        <w:t>
</w:t>
      </w:r>
      <w:r>
        <w:rPr>
          <w:rFonts w:ascii="Times New Roman"/>
          <w:b w:val="false"/>
          <w:i w:val="false"/>
          <w:color w:val="000000"/>
          <w:sz w:val="28"/>
        </w:rPr>
        <w:t xml:space="preserve">
      2) увеличения доходности управления Фондом благодаря использованию опыта, аналитических материалов, исследований и технических ресурсов внешнего управляющего; </w:t>
      </w:r>
      <w:r>
        <w:br/>
      </w:r>
      <w:r>
        <w:rPr>
          <w:rFonts w:ascii="Times New Roman"/>
          <w:b w:val="false"/>
          <w:i w:val="false"/>
          <w:color w:val="000000"/>
          <w:sz w:val="28"/>
        </w:rPr>
        <w:t>
</w:t>
      </w:r>
      <w:r>
        <w:rPr>
          <w:rFonts w:ascii="Times New Roman"/>
          <w:b w:val="false"/>
          <w:i w:val="false"/>
          <w:color w:val="000000"/>
          <w:sz w:val="28"/>
        </w:rPr>
        <w:t xml:space="preserve">
      3) получения дополнительной экспертизы в области управления активами, обучения персонала; </w:t>
      </w:r>
      <w:r>
        <w:br/>
      </w:r>
      <w:r>
        <w:rPr>
          <w:rFonts w:ascii="Times New Roman"/>
          <w:b w:val="false"/>
          <w:i w:val="false"/>
          <w:color w:val="000000"/>
          <w:sz w:val="28"/>
        </w:rPr>
        <w:t>
</w:t>
      </w:r>
      <w:r>
        <w:rPr>
          <w:rFonts w:ascii="Times New Roman"/>
          <w:b w:val="false"/>
          <w:i w:val="false"/>
          <w:color w:val="000000"/>
          <w:sz w:val="28"/>
        </w:rPr>
        <w:t>
      4) возможности внедрения новых классов активов, по которым нет опыта во внутреннем управлении;</w:t>
      </w:r>
      <w:r>
        <w:br/>
      </w:r>
      <w:r>
        <w:rPr>
          <w:rFonts w:ascii="Times New Roman"/>
          <w:b w:val="false"/>
          <w:i w:val="false"/>
          <w:color w:val="000000"/>
          <w:sz w:val="28"/>
        </w:rPr>
        <w:t>
</w:t>
      </w:r>
      <w:r>
        <w:rPr>
          <w:rFonts w:ascii="Times New Roman"/>
          <w:b w:val="false"/>
          <w:i w:val="false"/>
          <w:color w:val="000000"/>
          <w:sz w:val="28"/>
        </w:rPr>
        <w:t>
      5) поддержания количества внешних управляющих соответствующим объемам внешнего управления,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июля 2006 года № 65 "Об утверждении Правил осуществления инвестиционных операций Национального фонда Республики Казахстан", зарегистрированным в Реестре государственной регистрации нормативных правовых актов под № 4361.</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постановлением Правления Национального Банка РК от 30.11.2009 </w:t>
      </w:r>
      <w:r>
        <w:rPr>
          <w:rFonts w:ascii="Times New Roman"/>
          <w:b w:val="false"/>
          <w:i w:val="false"/>
          <w:color w:val="000000"/>
          <w:sz w:val="28"/>
        </w:rPr>
        <w:t>№ 105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2-1.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региональный мандат – портфель, инвестиции которого сосредоточены в рамках одной страны (рынка, региона);</w:t>
      </w:r>
      <w:r>
        <w:br/>
      </w:r>
      <w:r>
        <w:rPr>
          <w:rFonts w:ascii="Times New Roman"/>
          <w:b w:val="false"/>
          <w:i w:val="false"/>
          <w:color w:val="000000"/>
          <w:sz w:val="28"/>
        </w:rPr>
        <w:t>
</w:t>
      </w:r>
      <w:r>
        <w:rPr>
          <w:rFonts w:ascii="Times New Roman"/>
          <w:b w:val="false"/>
          <w:i w:val="false"/>
          <w:color w:val="000000"/>
          <w:sz w:val="28"/>
        </w:rPr>
        <w:t>
      2) активное управление активами - вид управления, при котором допускается превышение 0.5 (ноль целых пять десятых) процентного порога значения отклонения доходности (tracking error);</w:t>
      </w:r>
      <w:r>
        <w:br/>
      </w:r>
      <w:r>
        <w:rPr>
          <w:rFonts w:ascii="Times New Roman"/>
          <w:b w:val="false"/>
          <w:i w:val="false"/>
          <w:color w:val="000000"/>
          <w:sz w:val="28"/>
        </w:rPr>
        <w:t>
</w:t>
      </w:r>
      <w:r>
        <w:rPr>
          <w:rFonts w:ascii="Times New Roman"/>
          <w:b w:val="false"/>
          <w:i w:val="false"/>
          <w:color w:val="000000"/>
          <w:sz w:val="28"/>
        </w:rPr>
        <w:t>
      3) пассивное управление активами - это вид управления, при котором значение изменчивости отклонения доходности (tracking error) не превышает 0.5 процента. При пассивном управлении доходность портфеля во внешнем управлении приблизительно равна доходности эталонного портфеля.</w:t>
      </w:r>
      <w:r>
        <w:br/>
      </w:r>
      <w:r>
        <w:rPr>
          <w:rFonts w:ascii="Times New Roman"/>
          <w:b w:val="false"/>
          <w:i w:val="false"/>
          <w:color w:val="000000"/>
          <w:sz w:val="28"/>
        </w:rPr>
        <w:t>
</w:t>
      </w:r>
      <w:r>
        <w:rPr>
          <w:rFonts w:ascii="Times New Roman"/>
          <w:b w:val="false"/>
          <w:i w:val="false"/>
          <w:color w:val="000000"/>
          <w:sz w:val="28"/>
        </w:rPr>
        <w:t>
      4) внешнее транзитное управление активами – это вид управления, при котором активы, предназначенные для перевода от одного внешнего управляющего другому, передаются на срок до 6 (шести) месяцев внешнему транзитному управляющему с целью минимизации рисков сопутствующих трансформации передаваемых активов;</w:t>
      </w:r>
      <w:r>
        <w:br/>
      </w:r>
      <w:r>
        <w:rPr>
          <w:rFonts w:ascii="Times New Roman"/>
          <w:b w:val="false"/>
          <w:i w:val="false"/>
          <w:color w:val="000000"/>
          <w:sz w:val="28"/>
        </w:rPr>
        <w:t>
</w:t>
      </w:r>
      <w:r>
        <w:rPr>
          <w:rFonts w:ascii="Times New Roman"/>
          <w:b w:val="false"/>
          <w:i w:val="false"/>
          <w:color w:val="000000"/>
          <w:sz w:val="28"/>
        </w:rPr>
        <w:t>
      5) информационный коэффициент (information ratio) - отношение исторической сверхдоходности к историческому уровню риска (изменчивости отклонения доходности);</w:t>
      </w:r>
      <w:r>
        <w:br/>
      </w:r>
      <w:r>
        <w:rPr>
          <w:rFonts w:ascii="Times New Roman"/>
          <w:b w:val="false"/>
          <w:i w:val="false"/>
          <w:color w:val="000000"/>
          <w:sz w:val="28"/>
        </w:rPr>
        <w:t>
</w:t>
      </w:r>
      <w:r>
        <w:rPr>
          <w:rFonts w:ascii="Times New Roman"/>
          <w:b w:val="false"/>
          <w:i w:val="false"/>
          <w:color w:val="000000"/>
          <w:sz w:val="28"/>
        </w:rPr>
        <w:t>
      6) глобальный мандат – портфель, инвестиции которого выходят за рамки одной страны (рынка, региона);</w:t>
      </w:r>
      <w:r>
        <w:br/>
      </w:r>
      <w:r>
        <w:rPr>
          <w:rFonts w:ascii="Times New Roman"/>
          <w:b w:val="false"/>
          <w:i w:val="false"/>
          <w:color w:val="000000"/>
          <w:sz w:val="28"/>
        </w:rPr>
        <w:t>
</w:t>
      </w:r>
      <w:r>
        <w:rPr>
          <w:rFonts w:ascii="Times New Roman"/>
          <w:b w:val="false"/>
          <w:i w:val="false"/>
          <w:color w:val="000000"/>
          <w:sz w:val="28"/>
        </w:rPr>
        <w:t>
      7) головная организация – компания, владеющая контрольным пакетом акций дочерних организаций;</w:t>
      </w:r>
      <w:r>
        <w:br/>
      </w:r>
      <w:r>
        <w:rPr>
          <w:rFonts w:ascii="Times New Roman"/>
          <w:b w:val="false"/>
          <w:i w:val="false"/>
          <w:color w:val="000000"/>
          <w:sz w:val="28"/>
        </w:rPr>
        <w:t>
</w:t>
      </w:r>
      <w:r>
        <w:rPr>
          <w:rFonts w:ascii="Times New Roman"/>
          <w:b w:val="false"/>
          <w:i w:val="false"/>
          <w:color w:val="000000"/>
          <w:sz w:val="28"/>
        </w:rPr>
        <w:t>
      8) уровень сверхдоходности - разница между фактически достигнутым уровнем доходности и уровнем доходности эталонного портфеля;</w:t>
      </w:r>
      <w:r>
        <w:br/>
      </w:r>
      <w:r>
        <w:rPr>
          <w:rFonts w:ascii="Times New Roman"/>
          <w:b w:val="false"/>
          <w:i w:val="false"/>
          <w:color w:val="000000"/>
          <w:sz w:val="28"/>
        </w:rPr>
        <w:t>
</w:t>
      </w:r>
      <w:r>
        <w:rPr>
          <w:rFonts w:ascii="Times New Roman"/>
          <w:b w:val="false"/>
          <w:i w:val="false"/>
          <w:color w:val="000000"/>
          <w:sz w:val="28"/>
        </w:rPr>
        <w:t>
      9) полномочный представитель – специальное должностное лицо (на уровне не ниже заместителя Председателя Национального Банка Республики Казахстан), определяемое решением Правления Национального Банка Республики Казахстан (далее - Национальный Банк), в полномочия которого входит оперативное принятие решений по доверительному управлению Фондом от имени Национального Банка;</w:t>
      </w:r>
      <w:r>
        <w:br/>
      </w:r>
      <w:r>
        <w:rPr>
          <w:rFonts w:ascii="Times New Roman"/>
          <w:b w:val="false"/>
          <w:i w:val="false"/>
          <w:color w:val="000000"/>
          <w:sz w:val="28"/>
        </w:rPr>
        <w:t>
</w:t>
      </w:r>
      <w:r>
        <w:rPr>
          <w:rFonts w:ascii="Times New Roman"/>
          <w:b w:val="false"/>
          <w:i w:val="false"/>
          <w:color w:val="000000"/>
          <w:sz w:val="28"/>
        </w:rPr>
        <w:t>
      10) специализированный мандат – мандат, передаваемый с целью диверсификации стилей управления и отрицательной корреляции между внешними управляющими;</w:t>
      </w:r>
      <w:r>
        <w:br/>
      </w:r>
      <w:r>
        <w:rPr>
          <w:rFonts w:ascii="Times New Roman"/>
          <w:b w:val="false"/>
          <w:i w:val="false"/>
          <w:color w:val="000000"/>
          <w:sz w:val="28"/>
        </w:rPr>
        <w:t>
</w:t>
      </w:r>
      <w:r>
        <w:rPr>
          <w:rFonts w:ascii="Times New Roman"/>
          <w:b w:val="false"/>
          <w:i w:val="false"/>
          <w:color w:val="000000"/>
          <w:sz w:val="28"/>
        </w:rPr>
        <w:t>
      11) мандат – портфель, имеющий определенные инвестиционные характеристики;</w:t>
      </w:r>
      <w:r>
        <w:br/>
      </w:r>
      <w:r>
        <w:rPr>
          <w:rFonts w:ascii="Times New Roman"/>
          <w:b w:val="false"/>
          <w:i w:val="false"/>
          <w:color w:val="000000"/>
          <w:sz w:val="28"/>
        </w:rPr>
        <w:t>
</w:t>
      </w:r>
      <w:r>
        <w:rPr>
          <w:rFonts w:ascii="Times New Roman"/>
          <w:b w:val="false"/>
          <w:i w:val="false"/>
          <w:color w:val="000000"/>
          <w:sz w:val="28"/>
        </w:rPr>
        <w:t>
      12) маржевой счет – это счет для проведения операций с производными финансовыми инструментами, открытый в клиринговой организации, являющейся организацией, аффилиированной с биржами, обеспечивающей действительность, поставку и проведение расчетов по операциям с производными инструментами;</w:t>
      </w:r>
      <w:r>
        <w:br/>
      </w:r>
      <w:r>
        <w:rPr>
          <w:rFonts w:ascii="Times New Roman"/>
          <w:b w:val="false"/>
          <w:i w:val="false"/>
          <w:color w:val="000000"/>
          <w:sz w:val="28"/>
        </w:rPr>
        <w:t>
</w:t>
      </w:r>
      <w:r>
        <w:rPr>
          <w:rFonts w:ascii="Times New Roman"/>
          <w:b w:val="false"/>
          <w:i w:val="false"/>
          <w:color w:val="000000"/>
          <w:sz w:val="28"/>
        </w:rPr>
        <w:t>
      13) внешний управляющий - инвестиционная компания и/или инвестиционный банк, специализирующийся на доверительном управлении активами клиентов и осуществляющий свою деятельность на международных финансовых рынках;</w:t>
      </w:r>
      <w:r>
        <w:br/>
      </w:r>
      <w:r>
        <w:rPr>
          <w:rFonts w:ascii="Times New Roman"/>
          <w:b w:val="false"/>
          <w:i w:val="false"/>
          <w:color w:val="000000"/>
          <w:sz w:val="28"/>
        </w:rPr>
        <w:t>
</w:t>
      </w:r>
      <w:r>
        <w:rPr>
          <w:rFonts w:ascii="Times New Roman"/>
          <w:b w:val="false"/>
          <w:i w:val="false"/>
          <w:color w:val="000000"/>
          <w:sz w:val="28"/>
        </w:rPr>
        <w:t>
      14) внешний транзитный управляющий – инвестиционная компания и/или инвестиционный банк, специализирующийся на транзитном управлении активов клиентов и осуществляющий свою деятельность на международных финансовых рынках;</w:t>
      </w:r>
      <w:r>
        <w:br/>
      </w:r>
      <w:r>
        <w:rPr>
          <w:rFonts w:ascii="Times New Roman"/>
          <w:b w:val="false"/>
          <w:i w:val="false"/>
          <w:color w:val="000000"/>
          <w:sz w:val="28"/>
        </w:rPr>
        <w:t>
</w:t>
      </w:r>
      <w:r>
        <w:rPr>
          <w:rFonts w:ascii="Times New Roman"/>
          <w:b w:val="false"/>
          <w:i w:val="false"/>
          <w:color w:val="000000"/>
          <w:sz w:val="28"/>
        </w:rPr>
        <w:t>
      15) уполномоченное подразделение - Департамент монетарных операций и управления активами Национального Банка.</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2-1 в соответствии с постановлением Правления Национального Банка РК от 26.12.2011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постановлением Правления Национального Банка РК от 24.12.2014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
    <w:bookmarkStart w:name="z10" w:id="9"/>
    <w:p>
      <w:pPr>
        <w:spacing w:after="0"/>
        <w:ind w:left="0"/>
        <w:jc w:val="left"/>
      </w:pPr>
      <w:r>
        <w:rPr>
          <w:rFonts w:ascii="Times New Roman"/>
          <w:b/>
          <w:i w:val="false"/>
          <w:color w:val="000000"/>
        </w:rPr>
        <w:t xml:space="preserve"> 
  Глава 2. Основные понятия </w:t>
      </w:r>
    </w:p>
    <w:bookmarkEnd w:id="9"/>
    <w:p>
      <w:pPr>
        <w:spacing w:after="0"/>
        <w:ind w:left="0"/>
        <w:jc w:val="both"/>
      </w:pPr>
      <w:r>
        <w:rPr>
          <w:rFonts w:ascii="Times New Roman"/>
          <w:b w:val="false"/>
          <w:i w:val="false"/>
          <w:color w:val="ff0000"/>
          <w:sz w:val="28"/>
        </w:rPr>
        <w:t xml:space="preserve">      Сноска. Глава 2 исключена постановлением Правления Национального Банка РК от 26.12.2011 </w:t>
      </w:r>
      <w:r>
        <w:rPr>
          <w:rFonts w:ascii="Times New Roman"/>
          <w:b w:val="false"/>
          <w:i w:val="false"/>
          <w:color w:val="ff0000"/>
          <w:sz w:val="28"/>
        </w:rPr>
        <w:t>№ 202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19" w:id="10"/>
    <w:p>
      <w:pPr>
        <w:spacing w:after="0"/>
        <w:ind w:left="0"/>
        <w:jc w:val="left"/>
      </w:pPr>
      <w:r>
        <w:rPr>
          <w:rFonts w:ascii="Times New Roman"/>
          <w:b/>
          <w:i w:val="false"/>
          <w:color w:val="000000"/>
        </w:rPr>
        <w:t xml:space="preserve"> 
3. Основные условия внешнего и внешнего</w:t>
      </w:r>
      <w:r>
        <w:br/>
      </w:r>
      <w:r>
        <w:rPr>
          <w:rFonts w:ascii="Times New Roman"/>
          <w:b/>
          <w:i w:val="false"/>
          <w:color w:val="000000"/>
        </w:rPr>
        <w:t>
транзитного управления</w:t>
      </w:r>
    </w:p>
    <w:bookmarkEnd w:id="10"/>
    <w:p>
      <w:pPr>
        <w:spacing w:after="0"/>
        <w:ind w:left="0"/>
        <w:jc w:val="both"/>
      </w:pPr>
      <w:r>
        <w:rPr>
          <w:rFonts w:ascii="Times New Roman"/>
          <w:b w:val="false"/>
          <w:i w:val="false"/>
          <w:color w:val="ff0000"/>
          <w:sz w:val="28"/>
        </w:rPr>
        <w:t xml:space="preserve">      Сноска. Заголовок главы 3 в редакции постановления Правления Национального Банка РК от 24.12.2014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11"/>
    <w:p>
      <w:pPr>
        <w:spacing w:after="0"/>
        <w:ind w:left="0"/>
        <w:jc w:val="both"/>
      </w:pPr>
      <w:r>
        <w:rPr>
          <w:rFonts w:ascii="Times New Roman"/>
          <w:b w:val="false"/>
          <w:i w:val="false"/>
          <w:color w:val="000000"/>
          <w:sz w:val="28"/>
        </w:rPr>
        <w:t>
      11. Во внешнее или внешнее транзитное управление могут быть переданы деньги и другие активы, входящие в состав Фонда.</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изменениями, внесенными постановлением Правления Национального Банка РК от 30.11.2009 </w:t>
      </w:r>
      <w:r>
        <w:rPr>
          <w:rFonts w:ascii="Times New Roman"/>
          <w:b w:val="false"/>
          <w:i w:val="false"/>
          <w:color w:val="000000"/>
          <w:sz w:val="28"/>
        </w:rPr>
        <w:t>№ 105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11"/>
    <w:bookmarkStart w:name="z21" w:id="12"/>
    <w:p>
      <w:pPr>
        <w:spacing w:after="0"/>
        <w:ind w:left="0"/>
        <w:jc w:val="both"/>
      </w:pPr>
      <w:r>
        <w:rPr>
          <w:rFonts w:ascii="Times New Roman"/>
          <w:b w:val="false"/>
          <w:i w:val="false"/>
          <w:color w:val="000000"/>
          <w:sz w:val="28"/>
        </w:rPr>
        <w:t>
      12. Общий допустимый объем Фонда, передаваемого во внешнее управление одному внешнему управляющему, составляет не более 10 процентов сберегательного портфеля Фонда.</w:t>
      </w:r>
      <w:r>
        <w:br/>
      </w:r>
      <w:r>
        <w:rPr>
          <w:rFonts w:ascii="Times New Roman"/>
          <w:b w:val="false"/>
          <w:i w:val="false"/>
          <w:color w:val="000000"/>
          <w:sz w:val="28"/>
        </w:rPr>
        <w:t>
</w:t>
      </w:r>
      <w:r>
        <w:rPr>
          <w:rFonts w:ascii="Times New Roman"/>
          <w:b w:val="false"/>
          <w:i w:val="false"/>
          <w:color w:val="ff0000"/>
          <w:sz w:val="28"/>
        </w:rPr>
        <w:t xml:space="preserve">      Сноска. Пункт 12 в редакции постановления Правления Национального Банка РК от 24.12.2014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2"/>
    <w:bookmarkStart w:name="z22" w:id="13"/>
    <w:p>
      <w:pPr>
        <w:spacing w:after="0"/>
        <w:ind w:left="0"/>
        <w:jc w:val="both"/>
      </w:pPr>
      <w:r>
        <w:rPr>
          <w:rFonts w:ascii="Times New Roman"/>
          <w:b w:val="false"/>
          <w:i w:val="false"/>
          <w:color w:val="000000"/>
          <w:sz w:val="28"/>
        </w:rPr>
        <w:t xml:space="preserve">
      13. Вид управления активами (активное, пассивное) и параметры эталонного портфеля определяются в рамках осуществления Национальным Банком инвестиционных операций Фонда. </w:t>
      </w:r>
    </w:p>
    <w:bookmarkEnd w:id="13"/>
    <w:bookmarkStart w:name="z23" w:id="14"/>
    <w:p>
      <w:pPr>
        <w:spacing w:after="0"/>
        <w:ind w:left="0"/>
        <w:jc w:val="both"/>
      </w:pPr>
      <w:r>
        <w:rPr>
          <w:rFonts w:ascii="Times New Roman"/>
          <w:b w:val="false"/>
          <w:i w:val="false"/>
          <w:color w:val="000000"/>
          <w:sz w:val="28"/>
        </w:rPr>
        <w:t>
      14. Внешнему или внешнему транзитному управляющему выплачивается фиксированное вознаграждение и/или вознаграждение, зависящее от результатов управления в порядке, установленном соглашением о передаче активов во внешнее или внешнее транзитное управление.</w:t>
      </w:r>
      <w:r>
        <w:br/>
      </w:r>
      <w:r>
        <w:rPr>
          <w:rFonts w:ascii="Times New Roman"/>
          <w:b w:val="false"/>
          <w:i w:val="false"/>
          <w:color w:val="000000"/>
          <w:sz w:val="28"/>
        </w:rPr>
        <w:t>
      </w:t>
      </w:r>
      <w:r>
        <w:rPr>
          <w:rFonts w:ascii="Times New Roman"/>
          <w:b w:val="false"/>
          <w:i w:val="false"/>
          <w:color w:val="ff0000"/>
          <w:sz w:val="28"/>
        </w:rPr>
        <w:t xml:space="preserve">Сноска. Пункт 14 с изменениями, внесенными постановлением Правления Национального Банка РК от 30.11.2009 </w:t>
      </w:r>
      <w:r>
        <w:rPr>
          <w:rFonts w:ascii="Times New Roman"/>
          <w:b w:val="false"/>
          <w:i w:val="false"/>
          <w:color w:val="000000"/>
          <w:sz w:val="28"/>
        </w:rPr>
        <w:t>№ 105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14"/>
    <w:bookmarkStart w:name="z24" w:id="15"/>
    <w:p>
      <w:pPr>
        <w:spacing w:after="0"/>
        <w:ind w:left="0"/>
        <w:jc w:val="left"/>
      </w:pPr>
      <w:r>
        <w:rPr>
          <w:rFonts w:ascii="Times New Roman"/>
          <w:b/>
          <w:i w:val="false"/>
          <w:color w:val="000000"/>
        </w:rPr>
        <w:t xml:space="preserve"> 
4. Порядок принятия решения и передачи </w:t>
      </w:r>
      <w:r>
        <w:br/>
      </w:r>
      <w:r>
        <w:rPr>
          <w:rFonts w:ascii="Times New Roman"/>
          <w:b/>
          <w:i w:val="false"/>
          <w:color w:val="000000"/>
        </w:rPr>
        <w:t>
активов Фонда во внешнее или внешнее транзитное управление</w:t>
      </w:r>
    </w:p>
    <w:bookmarkEnd w:id="15"/>
    <w:p>
      <w:pPr>
        <w:spacing w:after="0"/>
        <w:ind w:left="0"/>
        <w:jc w:val="both"/>
      </w:pPr>
      <w:r>
        <w:rPr>
          <w:rFonts w:ascii="Times New Roman"/>
          <w:b w:val="false"/>
          <w:i w:val="false"/>
          <w:color w:val="ff0000"/>
          <w:sz w:val="28"/>
        </w:rPr>
        <w:t xml:space="preserve">      Сноска. Заголовок главы 4 в редакции постановления Правления Национального Банка РК от 24.12.2014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 w:id="16"/>
    <w:p>
      <w:pPr>
        <w:spacing w:after="0"/>
        <w:ind w:left="0"/>
        <w:jc w:val="both"/>
      </w:pPr>
      <w:r>
        <w:rPr>
          <w:rFonts w:ascii="Times New Roman"/>
          <w:b w:val="false"/>
          <w:i w:val="false"/>
          <w:color w:val="000000"/>
          <w:sz w:val="28"/>
        </w:rPr>
        <w:t>
      15. Решение о необходимости передачи активов во внешнее или внешнее транзитное управление принимается Полномочным представителем или Председателем или Заместителем Председателя, курирующим уполномоченное подразделение, по предложению уполномоченного подразделения, либо в соответствии с поручением Председателя или Заместителя Председателя, курирующего уполномоченное подразделение.</w:t>
      </w:r>
      <w:r>
        <w:br/>
      </w:r>
      <w:r>
        <w:rPr>
          <w:rFonts w:ascii="Times New Roman"/>
          <w:b w:val="false"/>
          <w:i w:val="false"/>
          <w:color w:val="000000"/>
          <w:sz w:val="28"/>
        </w:rPr>
        <w:t>
      </w:t>
      </w:r>
      <w:r>
        <w:rPr>
          <w:rFonts w:ascii="Times New Roman"/>
          <w:b w:val="false"/>
          <w:i w:val="false"/>
          <w:color w:val="ff0000"/>
          <w:sz w:val="28"/>
        </w:rPr>
        <w:t xml:space="preserve">Сноска. Пункт 15 в редакции постановления Правления Национального Банка РК от 29.04.2011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15-1. Если внешний управляющий, осуществляющий внешнее управление золотовалютными активами Национального Банка, удовлетворяет критериям, установленным пунктами 19-1 и 19-2 настоящих Правил, то по решению Полномочного представителя, Председателя или Заместителя Председателя, курирующего уполномоченное подразделение, его кандидатура выносится на рассмотрение Правления Национального Банка без проведения процедур, предусмотренных пунктами 16, 17, 18 и 19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15-1 в соответствии с постановлением Правления Национального Банка РК от 25.05.2012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16. Уполномоченное подразделение публикует на интернет-ресурсе Национального Банка в международной сети Интернет информацию о предстоящем проведении тендера по выбору внешнего управляющего, составляет список потенциальных внешних управляющих, рассылает эту информацию потенциальным внешним управляющим. Информация о предстоящем тендере содержит следующее:</w:t>
      </w:r>
      <w:r>
        <w:br/>
      </w:r>
      <w:r>
        <w:rPr>
          <w:rFonts w:ascii="Times New Roman"/>
          <w:b w:val="false"/>
          <w:i w:val="false"/>
          <w:color w:val="000000"/>
          <w:sz w:val="28"/>
        </w:rPr>
        <w:t xml:space="preserve">
      1) описание типа мандата и его характеристик (эталонный портфель, цели управления, инвестиционные ограничения, приблизительный объем мандата); </w:t>
      </w:r>
      <w:r>
        <w:br/>
      </w:r>
      <w:r>
        <w:rPr>
          <w:rFonts w:ascii="Times New Roman"/>
          <w:b w:val="false"/>
          <w:i w:val="false"/>
          <w:color w:val="000000"/>
          <w:sz w:val="28"/>
        </w:rPr>
        <w:t>
      2) минимальную информацию, запрашиваемую у внешнего управляющего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и срок представления ответов; </w:t>
      </w:r>
      <w:r>
        <w:br/>
      </w:r>
      <w:r>
        <w:rPr>
          <w:rFonts w:ascii="Times New Roman"/>
          <w:b w:val="false"/>
          <w:i w:val="false"/>
          <w:color w:val="000000"/>
          <w:sz w:val="28"/>
        </w:rPr>
        <w:t xml:space="preserve">
      3) требования к потенциальным внешним управляющим; </w:t>
      </w:r>
      <w:r>
        <w:br/>
      </w:r>
      <w:r>
        <w:rPr>
          <w:rFonts w:ascii="Times New Roman"/>
          <w:b w:val="false"/>
          <w:i w:val="false"/>
          <w:color w:val="000000"/>
          <w:sz w:val="28"/>
        </w:rPr>
        <w:t xml:space="preserve">
      4) сведения о должностных лицах Национального Банка, ответственных за проведение тендера. </w:t>
      </w:r>
      <w:r>
        <w:br/>
      </w:r>
      <w:r>
        <w:rPr>
          <w:rFonts w:ascii="Times New Roman"/>
          <w:b w:val="false"/>
          <w:i w:val="false"/>
          <w:color w:val="000000"/>
          <w:sz w:val="28"/>
        </w:rPr>
        <w:t>
      </w:t>
      </w:r>
      <w:r>
        <w:rPr>
          <w:rFonts w:ascii="Times New Roman"/>
          <w:b w:val="false"/>
          <w:i w:val="false"/>
          <w:color w:val="ff0000"/>
          <w:sz w:val="28"/>
        </w:rPr>
        <w:t xml:space="preserve">Сноска. Пункт 16 с изменением, внесенным постановлением Правления Национального Банка РК от 29.04.2011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p>
    <w:bookmarkEnd w:id="16"/>
    <w:bookmarkStart w:name="z27" w:id="17"/>
    <w:p>
      <w:pPr>
        <w:spacing w:after="0"/>
        <w:ind w:left="0"/>
        <w:jc w:val="both"/>
      </w:pPr>
      <w:r>
        <w:rPr>
          <w:rFonts w:ascii="Times New Roman"/>
          <w:b w:val="false"/>
          <w:i w:val="false"/>
          <w:color w:val="000000"/>
          <w:sz w:val="28"/>
        </w:rPr>
        <w:t>
      17. Выбор внешних или внешних транзитных управляющих осуществляется уполномоченным подразделением.</w:t>
      </w:r>
      <w:r>
        <w:br/>
      </w:r>
      <w:r>
        <w:rPr>
          <w:rFonts w:ascii="Times New Roman"/>
          <w:b w:val="false"/>
          <w:i w:val="false"/>
          <w:color w:val="000000"/>
          <w:sz w:val="28"/>
        </w:rPr>
        <w:t>
      </w:t>
      </w:r>
      <w:r>
        <w:rPr>
          <w:rFonts w:ascii="Times New Roman"/>
          <w:b w:val="false"/>
          <w:i w:val="false"/>
          <w:color w:val="ff0000"/>
          <w:sz w:val="28"/>
        </w:rPr>
        <w:t xml:space="preserve">Сноска. Пункт 17 с изменениями, внесенными постановлением Правления Национального Банка РК от 30.11.2009 </w:t>
      </w:r>
      <w:r>
        <w:rPr>
          <w:rFonts w:ascii="Times New Roman"/>
          <w:b w:val="false"/>
          <w:i w:val="false"/>
          <w:color w:val="000000"/>
          <w:sz w:val="28"/>
        </w:rPr>
        <w:t>№ 105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17"/>
    <w:bookmarkStart w:name="z28" w:id="18"/>
    <w:p>
      <w:pPr>
        <w:spacing w:after="0"/>
        <w:ind w:left="0"/>
        <w:jc w:val="both"/>
      </w:pPr>
      <w:r>
        <w:rPr>
          <w:rFonts w:ascii="Times New Roman"/>
          <w:b w:val="false"/>
          <w:i w:val="false"/>
          <w:color w:val="000000"/>
          <w:sz w:val="28"/>
        </w:rPr>
        <w:t>
      18. Потенциальные внешние управляющие представляют ответы на информацию, запрашиваемую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в электронном виде и/или на бумажном носителе.</w:t>
      </w:r>
      <w:r>
        <w:br/>
      </w:r>
      <w:r>
        <w:rPr>
          <w:rFonts w:ascii="Times New Roman"/>
          <w:b w:val="false"/>
          <w:i w:val="false"/>
          <w:color w:val="000000"/>
          <w:sz w:val="28"/>
        </w:rPr>
        <w:t>
      </w:t>
      </w:r>
      <w:r>
        <w:rPr>
          <w:rFonts w:ascii="Times New Roman"/>
          <w:b w:val="false"/>
          <w:i w:val="false"/>
          <w:color w:val="ff0000"/>
          <w:sz w:val="28"/>
        </w:rPr>
        <w:t xml:space="preserve">Сноска. Пункт 18 в редакции постановления Правления Национального Банка РК от 29.04.2011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p>
    <w:bookmarkEnd w:id="18"/>
    <w:bookmarkStart w:name="z29" w:id="19"/>
    <w:p>
      <w:pPr>
        <w:spacing w:after="0"/>
        <w:ind w:left="0"/>
        <w:jc w:val="both"/>
      </w:pPr>
      <w:r>
        <w:rPr>
          <w:rFonts w:ascii="Times New Roman"/>
          <w:b w:val="false"/>
          <w:i w:val="false"/>
          <w:color w:val="000000"/>
          <w:sz w:val="28"/>
        </w:rPr>
        <w:t>
      19. Уполномоченное подразделение производит сравнительный анализ всех поступивших предложений, с учетом обязательных критериев выбора внешних управляющих, установленных пунктами 19-1 и 19-2 настоящих Правил.</w:t>
      </w:r>
      <w:r>
        <w:br/>
      </w:r>
      <w:r>
        <w:rPr>
          <w:rFonts w:ascii="Times New Roman"/>
          <w:b w:val="false"/>
          <w:i w:val="false"/>
          <w:color w:val="000000"/>
          <w:sz w:val="28"/>
        </w:rPr>
        <w:t>
      В случае если внешний управляющий удовлетворяет обязательным критериям, проводится дальнейшее рассмотрение предложения и сравнительный анализ по оценочным критериям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Компания, не удовлетворяющая критериям, установленным </w:t>
      </w:r>
      <w:r>
        <w:rPr>
          <w:rFonts w:ascii="Times New Roman"/>
          <w:b w:val="false"/>
          <w:i w:val="false"/>
          <w:color w:val="000000"/>
          <w:sz w:val="28"/>
        </w:rPr>
        <w:t>пунктами 19-1</w:t>
      </w:r>
      <w:r>
        <w:rPr>
          <w:rFonts w:ascii="Times New Roman"/>
          <w:b w:val="false"/>
          <w:i w:val="false"/>
          <w:color w:val="000000"/>
          <w:sz w:val="28"/>
        </w:rPr>
        <w:t xml:space="preserve"> и </w:t>
      </w:r>
      <w:r>
        <w:rPr>
          <w:rFonts w:ascii="Times New Roman"/>
          <w:b w:val="false"/>
          <w:i w:val="false"/>
          <w:color w:val="000000"/>
          <w:sz w:val="28"/>
        </w:rPr>
        <w:t>19-2</w:t>
      </w:r>
      <w:r>
        <w:rPr>
          <w:rFonts w:ascii="Times New Roman"/>
          <w:b w:val="false"/>
          <w:i w:val="false"/>
          <w:color w:val="000000"/>
          <w:sz w:val="28"/>
        </w:rPr>
        <w:t xml:space="preserve"> настоящих Правил, утверждается в качестве внешнего управляющего на основании решения Правления Национального Банка.</w:t>
      </w:r>
      <w:r>
        <w:br/>
      </w:r>
      <w:r>
        <w:rPr>
          <w:rFonts w:ascii="Times New Roman"/>
          <w:b w:val="false"/>
          <w:i w:val="false"/>
          <w:color w:val="000000"/>
          <w:sz w:val="28"/>
        </w:rPr>
        <w:t>
      Порядок оценки предложения внешнего управляющего приведен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19 в редакции постановления Правления Национального Банка РК от 21.05.2010 </w:t>
      </w:r>
      <w:r>
        <w:rPr>
          <w:rFonts w:ascii="Times New Roman"/>
          <w:b w:val="false"/>
          <w:i w:val="false"/>
          <w:color w:val="000000"/>
          <w:sz w:val="28"/>
        </w:rPr>
        <w:t>№ 43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с изменением, внесенным постановлением Правления Национального Банка РК от 24.12.2014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19-1. Обязательные критерии для мандатов, в которых объем передаваемых активов одному внешнему управляющему превышает эквивалент 300 (трехсот) миллионов долларов США:</w:t>
      </w:r>
      <w:r>
        <w:br/>
      </w:r>
      <w:r>
        <w:rPr>
          <w:rFonts w:ascii="Times New Roman"/>
          <w:b w:val="false"/>
          <w:i w:val="false"/>
          <w:color w:val="000000"/>
          <w:sz w:val="28"/>
        </w:rPr>
        <w:t>
      1) не менее 10 (десяти) лет опыта работы с финансовыми инструментами, в которые предполагается инвестировать активы Фонда, из которых не менее 5 (пяти) лет опыта работы по объявленному типу мандата.</w:t>
      </w:r>
      <w:r>
        <w:br/>
      </w:r>
      <w:r>
        <w:rPr>
          <w:rFonts w:ascii="Times New Roman"/>
          <w:b w:val="false"/>
          <w:i w:val="false"/>
          <w:color w:val="000000"/>
          <w:sz w:val="28"/>
        </w:rPr>
        <w:t>
      Если объявлен тендер по выбору внешнего управляющего по глобальному мандату, а участник тендера имеет под управлением исключительно аналогичные региональные мандаты, то не менее 5 (пяти) лет опыта работы по региональным мандатам, которые составляют не менее 75 (семидесяти пяти) процентов охвата глобального мандата;</w:t>
      </w:r>
      <w:r>
        <w:br/>
      </w:r>
      <w:r>
        <w:rPr>
          <w:rFonts w:ascii="Times New Roman"/>
          <w:b w:val="false"/>
          <w:i w:val="false"/>
          <w:color w:val="000000"/>
          <w:sz w:val="28"/>
        </w:rPr>
        <w:t>
      2) размер активов под управлением: внешний управляющий имеет под управлением совокупные активы клиентов (в том числе, находящихся на консультационном обслуживании) не менее эквивалента 25 (двадцати пяти) миллиардов долларов США;</w:t>
      </w:r>
      <w:r>
        <w:br/>
      </w:r>
      <w:r>
        <w:rPr>
          <w:rFonts w:ascii="Times New Roman"/>
          <w:b w:val="false"/>
          <w:i w:val="false"/>
          <w:color w:val="000000"/>
          <w:sz w:val="28"/>
        </w:rPr>
        <w:t>
      3) размер активов по рассматриваемому типу мандата под управлением: внешний управляющий имеет по рассматриваемому типу мандата совокупные активы клиентов не менее эквивалента 1 (одного) миллиарда долларов США.</w:t>
      </w:r>
      <w:r>
        <w:br/>
      </w:r>
      <w:r>
        <w:rPr>
          <w:rFonts w:ascii="Times New Roman"/>
          <w:b w:val="false"/>
          <w:i w:val="false"/>
          <w:color w:val="000000"/>
          <w:sz w:val="28"/>
        </w:rPr>
        <w:t>
      Если объявлен тендер по выбору внешнего управляющего по глобальному мандату, а участник тендера имеет под управлением исключительно аналогичные региональные мандаты, то не менее эквивалента 1 (одного) миллиарда долларов США по региональным мандатам, которые составляют не менее 75 (семидесяти пяти) процентов охвата глобального мандата.</w:t>
      </w:r>
      <w:r>
        <w:br/>
      </w:r>
      <w:r>
        <w:rPr>
          <w:rFonts w:ascii="Times New Roman"/>
          <w:b w:val="false"/>
          <w:i w:val="false"/>
          <w:color w:val="000000"/>
          <w:sz w:val="28"/>
        </w:rPr>
        <w:t>
      </w:t>
      </w:r>
      <w:r>
        <w:rPr>
          <w:rFonts w:ascii="Times New Roman"/>
          <w:b w:val="false"/>
          <w:i w:val="false"/>
          <w:color w:val="ff0000"/>
          <w:sz w:val="28"/>
        </w:rPr>
        <w:t xml:space="preserve">Сноска. Пункт 19-1 в редакции постановления Правления Национального Банка РК от 24.12.2014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19-2. Обязательные критерии для специализированных мандатов, в которых объем передаваемых активов одному внешнему управляющему не превышает эквивалент 300 (трехсот) миллионов долларов США:</w:t>
      </w:r>
      <w:r>
        <w:br/>
      </w:r>
      <w:r>
        <w:rPr>
          <w:rFonts w:ascii="Times New Roman"/>
          <w:b w:val="false"/>
          <w:i w:val="false"/>
          <w:color w:val="000000"/>
          <w:sz w:val="28"/>
        </w:rPr>
        <w:t>
      1) не менее 5 (пяти) лет опыта работы с финансовыми инструментами, в которые предполагается инвестировать активы Фонда, из которых не менее 3 (трех) лет опыта работы по объявленному типу мандата.</w:t>
      </w:r>
      <w:r>
        <w:br/>
      </w:r>
      <w:r>
        <w:rPr>
          <w:rFonts w:ascii="Times New Roman"/>
          <w:b w:val="false"/>
          <w:i w:val="false"/>
          <w:color w:val="000000"/>
          <w:sz w:val="28"/>
        </w:rPr>
        <w:t>
      Если объявлен тендер по выбору внешнего управляющего по глобальному мандату, а участник тендера имеет под управлением исключительно аналогичные региональные мандаты, то не менее 3 (трех) лет опыта работы по региональным мандатам, которые составляют не менее 75 (семидесяти пяти) процентов охвата глобального мандата;</w:t>
      </w:r>
      <w:r>
        <w:br/>
      </w:r>
      <w:r>
        <w:rPr>
          <w:rFonts w:ascii="Times New Roman"/>
          <w:b w:val="false"/>
          <w:i w:val="false"/>
          <w:color w:val="000000"/>
          <w:sz w:val="28"/>
        </w:rPr>
        <w:t>
      2) размер активов под управлением: внешний управляющий имеет под управлением совокупные активы клиентов (в том числе, находящихся на консультационном обслуживании), в размере не менее эквивалента 3 (трех) миллиардов долларов США, за исключением внешних управляющих по мандатам альтернативных инструментов, для которых размер совокупных активов клиентов под управлением составляет не менее 1 (одного) миллиарда долларов США;</w:t>
      </w:r>
      <w:r>
        <w:br/>
      </w:r>
      <w:r>
        <w:rPr>
          <w:rFonts w:ascii="Times New Roman"/>
          <w:b w:val="false"/>
          <w:i w:val="false"/>
          <w:color w:val="000000"/>
          <w:sz w:val="28"/>
        </w:rPr>
        <w:t>
      3) размер активов по рассматриваемому типу мандата под управлением: внешний управляющий имеет по рассматриваемому типу мандата совокупные активы клиентов не менее эквивалента 150 (ста пятидесяти) миллионов долларов США.</w:t>
      </w:r>
      <w:r>
        <w:br/>
      </w:r>
      <w:r>
        <w:rPr>
          <w:rFonts w:ascii="Times New Roman"/>
          <w:b w:val="false"/>
          <w:i w:val="false"/>
          <w:color w:val="000000"/>
          <w:sz w:val="28"/>
        </w:rPr>
        <w:t>
      Если объявлен тендер по выбору внешнего управляющего по глобальному мандату, а участник тендера имеет под управлением исключительно аналогичные региональные мандаты, то не менее эквивалента 150 (ста пятидесяти) миллионов долларов США по региональным мандатам, которые составляют не менее 75 (семидесяти пяти) процентов охвата глобального мандата.</w:t>
      </w:r>
      <w:r>
        <w:br/>
      </w:r>
      <w:r>
        <w:rPr>
          <w:rFonts w:ascii="Times New Roman"/>
          <w:b w:val="false"/>
          <w:i w:val="false"/>
          <w:color w:val="000000"/>
          <w:sz w:val="28"/>
        </w:rPr>
        <w:t>
      После начала действия специализированного мандата одному внешнему управляющему по результатам его управления передаются активы в размере, превышающем 300 (триста) миллионов долларов США, но не более ограничения, указанного в </w:t>
      </w:r>
      <w:r>
        <w:rPr>
          <w:rFonts w:ascii="Times New Roman"/>
          <w:b w:val="false"/>
          <w:i w:val="false"/>
          <w:color w:val="000000"/>
          <w:sz w:val="28"/>
        </w:rPr>
        <w:t>пункте 12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19-2 в редакции постановления Правления Национального Банка РК от 24.12.2014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9"/>
    <w:bookmarkStart w:name="z30" w:id="20"/>
    <w:p>
      <w:pPr>
        <w:spacing w:after="0"/>
        <w:ind w:left="0"/>
        <w:jc w:val="both"/>
      </w:pPr>
      <w:r>
        <w:rPr>
          <w:rFonts w:ascii="Times New Roman"/>
          <w:b w:val="false"/>
          <w:i w:val="false"/>
          <w:color w:val="000000"/>
          <w:sz w:val="28"/>
        </w:rPr>
        <w:t>
      20. При необходимости уполномоченное подразделение обращается с запросом о результатах и качестве управления внешнего управляющего к его клиентам.</w:t>
      </w:r>
      <w:r>
        <w:br/>
      </w:r>
      <w:r>
        <w:rPr>
          <w:rFonts w:ascii="Times New Roman"/>
          <w:b w:val="false"/>
          <w:i w:val="false"/>
          <w:color w:val="000000"/>
          <w:sz w:val="28"/>
        </w:rPr>
        <w:t>
      </w:t>
      </w:r>
      <w:r>
        <w:rPr>
          <w:rFonts w:ascii="Times New Roman"/>
          <w:b w:val="false"/>
          <w:i w:val="false"/>
          <w:color w:val="ff0000"/>
          <w:sz w:val="28"/>
        </w:rPr>
        <w:t xml:space="preserve">Сноска. Пункт 20 в редакции постановления Правления Национального Банка РК от 24.12.2014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0"/>
    <w:bookmarkStart w:name="z31" w:id="21"/>
    <w:p>
      <w:pPr>
        <w:spacing w:after="0"/>
        <w:ind w:left="0"/>
        <w:jc w:val="both"/>
      </w:pPr>
      <w:r>
        <w:rPr>
          <w:rFonts w:ascii="Times New Roman"/>
          <w:b w:val="false"/>
          <w:i w:val="false"/>
          <w:color w:val="000000"/>
          <w:sz w:val="28"/>
        </w:rPr>
        <w:t xml:space="preserve">
      21.   Срок подготовки заключения по анализу предложений внешних управляющих составляет не более 2 (двух) месяцев со дня представления внешними управляющими запрашиваемой информации </w:t>
      </w:r>
      <w:r>
        <w:rPr>
          <w:rFonts w:ascii="Times New Roman"/>
          <w:b/>
          <w:i w:val="false"/>
          <w:color w:val="000000"/>
          <w:sz w:val="28"/>
        </w:rPr>
        <w:t xml:space="preserve">. </w:t>
      </w:r>
    </w:p>
    <w:bookmarkEnd w:id="21"/>
    <w:bookmarkStart w:name="z32" w:id="22"/>
    <w:p>
      <w:pPr>
        <w:spacing w:after="0"/>
        <w:ind w:left="0"/>
        <w:jc w:val="both"/>
      </w:pPr>
      <w:r>
        <w:rPr>
          <w:rFonts w:ascii="Times New Roman"/>
          <w:b w:val="false"/>
          <w:i w:val="false"/>
          <w:color w:val="000000"/>
          <w:sz w:val="28"/>
        </w:rPr>
        <w:t>
      22. Подготовленное уполномоченным подразделением заключение, содержащее сравнительный анализ предложений по внешнему управлению и рекомендации по выбору внешнего управляющего, передается на рассмотрение Полномочному представителю, который по результатам рассмотрения утверждает наиболее выгодные предложения внешних управляющих (короткий список - short list). Уполномоченное подразделение проводит переговоры с потенциальными внешними управляющими из короткого списка для целей улучшения условий предложения.</w:t>
      </w:r>
      <w:r>
        <w:br/>
      </w:r>
      <w:r>
        <w:rPr>
          <w:rFonts w:ascii="Times New Roman"/>
          <w:b w:val="false"/>
          <w:i w:val="false"/>
          <w:color w:val="000000"/>
          <w:sz w:val="28"/>
        </w:rPr>
        <w:t>
      </w:t>
      </w:r>
      <w:r>
        <w:rPr>
          <w:rFonts w:ascii="Times New Roman"/>
          <w:b w:val="false"/>
          <w:i w:val="false"/>
          <w:color w:val="ff0000"/>
          <w:sz w:val="28"/>
        </w:rPr>
        <w:t xml:space="preserve">Сноска. Пункт 22 в редакции постановления Правления Национального Банка РК от 29.04.2011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p>
    <w:bookmarkEnd w:id="22"/>
    <w:bookmarkStart w:name="z33" w:id="23"/>
    <w:p>
      <w:pPr>
        <w:spacing w:after="0"/>
        <w:ind w:left="0"/>
        <w:jc w:val="both"/>
      </w:pPr>
      <w:r>
        <w:rPr>
          <w:rFonts w:ascii="Times New Roman"/>
          <w:b w:val="false"/>
          <w:i w:val="false"/>
          <w:color w:val="000000"/>
          <w:sz w:val="28"/>
        </w:rPr>
        <w:t xml:space="preserve">
      23. В случае необходимости уполномоченное подразделение проводит встречи с потенциальными внешними управляющими для получения более детальной и точной информации о внешнем управляющем, порядке принятия инвестиционных решений и процедурах контроля за рисками. </w:t>
      </w:r>
    </w:p>
    <w:bookmarkEnd w:id="23"/>
    <w:bookmarkStart w:name="z90" w:id="24"/>
    <w:p>
      <w:pPr>
        <w:spacing w:after="0"/>
        <w:ind w:left="0"/>
        <w:jc w:val="both"/>
      </w:pPr>
      <w:r>
        <w:rPr>
          <w:rFonts w:ascii="Times New Roman"/>
          <w:b w:val="false"/>
          <w:i w:val="false"/>
          <w:color w:val="000000"/>
          <w:sz w:val="28"/>
        </w:rPr>
        <w:t>
      23-1. Каждый внешний управляющий утверждается решением Правления Национального Банка либо решением Полномочного представителя, предусматривающим заключение соглашения о передаче активов во внешнее управление между Национальным Банком и соответствующим внешним управляющим.</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23-1 в соответствии с постановлением Правления Национального Банка РК от 29.04.2011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p>
    <w:bookmarkEnd w:id="24"/>
    <w:bookmarkStart w:name="z34" w:id="25"/>
    <w:p>
      <w:pPr>
        <w:spacing w:after="0"/>
        <w:ind w:left="0"/>
        <w:jc w:val="both"/>
      </w:pPr>
      <w:r>
        <w:rPr>
          <w:rFonts w:ascii="Times New Roman"/>
          <w:b w:val="false"/>
          <w:i w:val="false"/>
          <w:color w:val="000000"/>
          <w:sz w:val="28"/>
        </w:rPr>
        <w:t>
      24. Уполномоченное подразделение после утверждения Правлением Национального Банка либо Полномочным представителем внешнего управляющего, представляет каждому участнику тендера уведомление об итоге тендера.</w:t>
      </w:r>
      <w:r>
        <w:br/>
      </w:r>
      <w:r>
        <w:rPr>
          <w:rFonts w:ascii="Times New Roman"/>
          <w:b w:val="false"/>
          <w:i w:val="false"/>
          <w:color w:val="000000"/>
          <w:sz w:val="28"/>
        </w:rPr>
        <w:t>
      </w:t>
      </w:r>
      <w:r>
        <w:rPr>
          <w:rFonts w:ascii="Times New Roman"/>
          <w:b w:val="false"/>
          <w:i w:val="false"/>
          <w:color w:val="ff0000"/>
          <w:sz w:val="28"/>
        </w:rPr>
        <w:t xml:space="preserve">Сноска. Пункт 24 в редакции постановления Правления Национального Банка РК от 29.04.2011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p>
    <w:bookmarkEnd w:id="25"/>
    <w:bookmarkStart w:name="z91" w:id="26"/>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24-1. Выбор внешнего транзитного управляющего осуществляется без проведения тендера. Внешний транзитный управляющий утверждается Полномочным представителем.</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24-1 в соответствии с постановлением Правления Национального Банка РК от 29.04.2011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p>
    <w:bookmarkEnd w:id="26"/>
    <w:bookmarkStart w:name="z35" w:id="27"/>
    <w:p>
      <w:pPr>
        <w:spacing w:after="0"/>
        <w:ind w:left="0"/>
        <w:jc w:val="both"/>
      </w:pPr>
      <w:r>
        <w:rPr>
          <w:rFonts w:ascii="Times New Roman"/>
          <w:b w:val="false"/>
          <w:i w:val="false"/>
          <w:color w:val="000000"/>
          <w:sz w:val="28"/>
        </w:rPr>
        <w:t>
      25. На основании решения Правления Национального Банка либо решения Полномочного представителя Фонда об утверждении внешнего или внешнего транзитного управляющего, уполномоченное подразделение проводит процедуру подготовки и заключения соглашения с внешним или внешним транзитным управляющим и осуществляет дальнейший мониторинг и контроль за выполнением всех условий соглашения с внешним управляющим Фонда.</w:t>
      </w:r>
      <w:r>
        <w:br/>
      </w:r>
      <w:r>
        <w:rPr>
          <w:rFonts w:ascii="Times New Roman"/>
          <w:b w:val="false"/>
          <w:i w:val="false"/>
          <w:color w:val="000000"/>
          <w:sz w:val="28"/>
        </w:rPr>
        <w:t>
      </w:t>
      </w:r>
      <w:r>
        <w:rPr>
          <w:rFonts w:ascii="Times New Roman"/>
          <w:b w:val="false"/>
          <w:i w:val="false"/>
          <w:color w:val="ff0000"/>
          <w:sz w:val="28"/>
        </w:rPr>
        <w:t xml:space="preserve">Сноска. Пункт 25 с изменениями, внесенными постановлениями Правления Национального Банка РК от 30.11.2009 </w:t>
      </w:r>
      <w:r>
        <w:rPr>
          <w:rFonts w:ascii="Times New Roman"/>
          <w:b w:val="false"/>
          <w:i w:val="false"/>
          <w:color w:val="000000"/>
          <w:sz w:val="28"/>
        </w:rPr>
        <w:t>№ 105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21.05.2010 </w:t>
      </w:r>
      <w:r>
        <w:rPr>
          <w:rFonts w:ascii="Times New Roman"/>
          <w:b w:val="false"/>
          <w:i w:val="false"/>
          <w:color w:val="000000"/>
          <w:sz w:val="28"/>
        </w:rPr>
        <w:t>№ 43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27"/>
    <w:bookmarkStart w:name="z36" w:id="28"/>
    <w:p>
      <w:pPr>
        <w:spacing w:after="0"/>
        <w:ind w:left="0"/>
        <w:jc w:val="left"/>
      </w:pPr>
      <w:r>
        <w:rPr>
          <w:rFonts w:ascii="Times New Roman"/>
          <w:b/>
          <w:i w:val="false"/>
          <w:color w:val="000000"/>
        </w:rPr>
        <w:t xml:space="preserve"> 
5. Условия соглашения о </w:t>
      </w:r>
      <w:r>
        <w:br/>
      </w:r>
      <w:r>
        <w:rPr>
          <w:rFonts w:ascii="Times New Roman"/>
          <w:b/>
          <w:i w:val="false"/>
          <w:color w:val="000000"/>
        </w:rPr>
        <w:t xml:space="preserve">
передаче активов во внешнее управление </w:t>
      </w:r>
    </w:p>
    <w:bookmarkEnd w:id="28"/>
    <w:p>
      <w:pPr>
        <w:spacing w:after="0"/>
        <w:ind w:left="0"/>
        <w:jc w:val="both"/>
      </w:pPr>
      <w:r>
        <w:rPr>
          <w:rFonts w:ascii="Times New Roman"/>
          <w:b w:val="false"/>
          <w:i w:val="false"/>
          <w:color w:val="ff0000"/>
          <w:sz w:val="28"/>
        </w:rPr>
        <w:t xml:space="preserve">      Сноска. Заголовок главы 5 в редакции постановления Правления Национального Банка РК от 24.12.2014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 w:id="29"/>
    <w:p>
      <w:pPr>
        <w:spacing w:after="0"/>
        <w:ind w:left="0"/>
        <w:jc w:val="both"/>
      </w:pPr>
      <w:r>
        <w:rPr>
          <w:rFonts w:ascii="Times New Roman"/>
          <w:b w:val="false"/>
          <w:i w:val="false"/>
          <w:color w:val="000000"/>
          <w:sz w:val="28"/>
        </w:rPr>
        <w:t xml:space="preserve">
      26. В соглашении о передаче активов во внешнее управление должны содержаться следующие условия: </w:t>
      </w:r>
      <w:r>
        <w:br/>
      </w:r>
      <w:r>
        <w:rPr>
          <w:rFonts w:ascii="Times New Roman"/>
          <w:b w:val="false"/>
          <w:i w:val="false"/>
          <w:color w:val="000000"/>
          <w:sz w:val="28"/>
        </w:rPr>
        <w:t>
</w:t>
      </w:r>
      <w:r>
        <w:rPr>
          <w:rFonts w:ascii="Times New Roman"/>
          <w:b w:val="false"/>
          <w:i w:val="false"/>
          <w:color w:val="000000"/>
          <w:sz w:val="28"/>
        </w:rPr>
        <w:t xml:space="preserve">
      1) право Национального Банка в любой момент досрочно расторгнуть соглашение о передаче активов во внешнее управление без объяснения причин; </w:t>
      </w:r>
      <w:r>
        <w:br/>
      </w:r>
      <w:r>
        <w:rPr>
          <w:rFonts w:ascii="Times New Roman"/>
          <w:b w:val="false"/>
          <w:i w:val="false"/>
          <w:color w:val="000000"/>
          <w:sz w:val="28"/>
        </w:rPr>
        <w:t>
</w:t>
      </w:r>
      <w:r>
        <w:rPr>
          <w:rFonts w:ascii="Times New Roman"/>
          <w:b w:val="false"/>
          <w:i w:val="false"/>
          <w:color w:val="000000"/>
          <w:sz w:val="28"/>
        </w:rPr>
        <w:t xml:space="preserve">
      2) право Национального Банка по своему усмотрению пополнять/отзывать часть активов, находящихся во внешнем управлении; </w:t>
      </w:r>
      <w:r>
        <w:br/>
      </w:r>
      <w:r>
        <w:rPr>
          <w:rFonts w:ascii="Times New Roman"/>
          <w:b w:val="false"/>
          <w:i w:val="false"/>
          <w:color w:val="000000"/>
          <w:sz w:val="28"/>
        </w:rPr>
        <w:t>
</w:t>
      </w:r>
      <w:r>
        <w:rPr>
          <w:rFonts w:ascii="Times New Roman"/>
          <w:b w:val="false"/>
          <w:i w:val="false"/>
          <w:color w:val="000000"/>
          <w:sz w:val="28"/>
        </w:rPr>
        <w:t xml:space="preserve">
      3) подписание соглашения на государственном и на приемлемом для сторон языке; </w:t>
      </w:r>
      <w:r>
        <w:br/>
      </w:r>
      <w:r>
        <w:rPr>
          <w:rFonts w:ascii="Times New Roman"/>
          <w:b w:val="false"/>
          <w:i w:val="false"/>
          <w:color w:val="000000"/>
          <w:sz w:val="28"/>
        </w:rPr>
        <w:t>
</w:t>
      </w:r>
      <w:r>
        <w:rPr>
          <w:rFonts w:ascii="Times New Roman"/>
          <w:b w:val="false"/>
          <w:i w:val="false"/>
          <w:color w:val="000000"/>
          <w:sz w:val="28"/>
        </w:rPr>
        <w:t xml:space="preserve">
      4) представление внешним управляющим информации о передвижении его персонала, ответственного за управление активами Фонда, переданными во внешнее управление; </w:t>
      </w:r>
      <w:r>
        <w:br/>
      </w:r>
      <w:r>
        <w:rPr>
          <w:rFonts w:ascii="Times New Roman"/>
          <w:b w:val="false"/>
          <w:i w:val="false"/>
          <w:color w:val="000000"/>
          <w:sz w:val="28"/>
        </w:rPr>
        <w:t>
</w:t>
      </w:r>
      <w:r>
        <w:rPr>
          <w:rFonts w:ascii="Times New Roman"/>
          <w:b w:val="false"/>
          <w:i w:val="false"/>
          <w:color w:val="000000"/>
          <w:sz w:val="28"/>
        </w:rPr>
        <w:t xml:space="preserve">
      5) посещение внешнего управляющего специалистами Национального Банка, Министерства финансов Республики Казахстан (далее - Министерство финансов) и независимыми аудиторами для целей проверки операций по счету, а также получения более детальной и точной информации о внешнем управляющем, порядке принятия инвестиционных решений и процедурах контроля за рисками; </w:t>
      </w:r>
      <w:r>
        <w:br/>
      </w:r>
      <w:r>
        <w:rPr>
          <w:rFonts w:ascii="Times New Roman"/>
          <w:b w:val="false"/>
          <w:i w:val="false"/>
          <w:color w:val="000000"/>
          <w:sz w:val="28"/>
        </w:rPr>
        <w:t>
</w:t>
      </w:r>
      <w:r>
        <w:rPr>
          <w:rFonts w:ascii="Times New Roman"/>
          <w:b w:val="false"/>
          <w:i w:val="false"/>
          <w:color w:val="000000"/>
          <w:sz w:val="28"/>
        </w:rPr>
        <w:t xml:space="preserve">
      6) невозможность использования в качестве брокеров по сделкам с активами Фонда, переданных во внешнее управление, аффилированных с внешним управляющим организаций; </w:t>
      </w:r>
      <w:r>
        <w:br/>
      </w:r>
      <w:r>
        <w:rPr>
          <w:rFonts w:ascii="Times New Roman"/>
          <w:b w:val="false"/>
          <w:i w:val="false"/>
          <w:color w:val="000000"/>
          <w:sz w:val="28"/>
        </w:rPr>
        <w:t>
</w:t>
      </w:r>
      <w:r>
        <w:rPr>
          <w:rFonts w:ascii="Times New Roman"/>
          <w:b w:val="false"/>
          <w:i w:val="false"/>
          <w:color w:val="000000"/>
          <w:sz w:val="28"/>
        </w:rPr>
        <w:t xml:space="preserve">
      7) об ответственности внешнего управляющего за нарушение установленного лимита ожидаемой изменчивости отклонения доходности (еxpected tracking error); </w:t>
      </w:r>
      <w:r>
        <w:br/>
      </w:r>
      <w:r>
        <w:rPr>
          <w:rFonts w:ascii="Times New Roman"/>
          <w:b w:val="false"/>
          <w:i w:val="false"/>
          <w:color w:val="000000"/>
          <w:sz w:val="28"/>
        </w:rPr>
        <w:t>
</w:t>
      </w:r>
      <w:r>
        <w:rPr>
          <w:rFonts w:ascii="Times New Roman"/>
          <w:b w:val="false"/>
          <w:i w:val="false"/>
          <w:color w:val="000000"/>
          <w:sz w:val="28"/>
        </w:rPr>
        <w:t>
      8) об ответственности за возможные убытки, причиненные Фонду вследствие небрежности, преднамеренного невыполнения обязательств или мошенничества со стороны внешнего управляющего;</w:t>
      </w:r>
      <w:r>
        <w:br/>
      </w:r>
      <w:r>
        <w:rPr>
          <w:rFonts w:ascii="Times New Roman"/>
          <w:b w:val="false"/>
          <w:i w:val="false"/>
          <w:color w:val="000000"/>
          <w:sz w:val="28"/>
        </w:rPr>
        <w:t>
</w:t>
      </w:r>
      <w:r>
        <w:rPr>
          <w:rFonts w:ascii="Times New Roman"/>
          <w:b w:val="false"/>
          <w:i w:val="false"/>
          <w:color w:val="000000"/>
          <w:sz w:val="28"/>
        </w:rPr>
        <w:t xml:space="preserve">
      9) консультирование, обучение или стажировка сотрудников Национального Банка и Министерства финансов, осуществляющих управление и мониторинг активов Фонда; </w:t>
      </w:r>
      <w:r>
        <w:br/>
      </w:r>
      <w:r>
        <w:rPr>
          <w:rFonts w:ascii="Times New Roman"/>
          <w:b w:val="false"/>
          <w:i w:val="false"/>
          <w:color w:val="000000"/>
          <w:sz w:val="28"/>
        </w:rPr>
        <w:t>
</w:t>
      </w:r>
      <w:r>
        <w:rPr>
          <w:rFonts w:ascii="Times New Roman"/>
          <w:b w:val="false"/>
          <w:i w:val="false"/>
          <w:color w:val="000000"/>
          <w:sz w:val="28"/>
        </w:rPr>
        <w:t xml:space="preserve">
      10) в случае расторжения соглашения внешний управляющий представляет сверенную с банком(-ами)-кастодианом(-ами) полную отчетность по портфелю на дату расторжения. Все ожидаемые расходы, связанные с портфелем за период внешнего управления определяются соглашением сторон; </w:t>
      </w:r>
      <w:r>
        <w:br/>
      </w:r>
      <w:r>
        <w:rPr>
          <w:rFonts w:ascii="Times New Roman"/>
          <w:b w:val="false"/>
          <w:i w:val="false"/>
          <w:color w:val="000000"/>
          <w:sz w:val="28"/>
        </w:rPr>
        <w:t>
</w:t>
      </w:r>
      <w:r>
        <w:rPr>
          <w:rFonts w:ascii="Times New Roman"/>
          <w:b w:val="false"/>
          <w:i w:val="false"/>
          <w:color w:val="000000"/>
          <w:sz w:val="28"/>
        </w:rPr>
        <w:t xml:space="preserve">
      11) внешний управляющий на регулярной основе представляет Национальному Банку отчетность в соответствии со следующими основными направлениями: </w:t>
      </w:r>
      <w:r>
        <w:br/>
      </w:r>
      <w:r>
        <w:rPr>
          <w:rFonts w:ascii="Times New Roman"/>
          <w:b w:val="false"/>
          <w:i w:val="false"/>
          <w:color w:val="000000"/>
          <w:sz w:val="28"/>
        </w:rPr>
        <w:t xml:space="preserve">
      ежедневная отчетность по совершенным за предыдущий рабочий день операциям; </w:t>
      </w:r>
      <w:r>
        <w:br/>
      </w:r>
      <w:r>
        <w:rPr>
          <w:rFonts w:ascii="Times New Roman"/>
          <w:b w:val="false"/>
          <w:i w:val="false"/>
          <w:color w:val="000000"/>
          <w:sz w:val="28"/>
        </w:rPr>
        <w:t xml:space="preserve">
      оценка портфеля (распределение активов по различным классам и видам валют, состав портфеля на конец отчетного месяца, рыночная стоимость активов на конец отчетного месяца); </w:t>
      </w:r>
      <w:r>
        <w:br/>
      </w:r>
      <w:r>
        <w:rPr>
          <w:rFonts w:ascii="Times New Roman"/>
          <w:b w:val="false"/>
          <w:i w:val="false"/>
          <w:color w:val="000000"/>
          <w:sz w:val="28"/>
        </w:rPr>
        <w:t xml:space="preserve">
      движения в портфеле (перечень всех заключенных за отчетный квартал сделок, отсортированные по различным классам и валютам, погашения, выплаты дивидендов и накопленных процентов); </w:t>
      </w:r>
      <w:r>
        <w:br/>
      </w:r>
      <w:r>
        <w:rPr>
          <w:rFonts w:ascii="Times New Roman"/>
          <w:b w:val="false"/>
          <w:i w:val="false"/>
          <w:color w:val="000000"/>
          <w:sz w:val="28"/>
        </w:rPr>
        <w:t xml:space="preserve">
      анализ результатов управления портфелем (ежемесячные, квартальные и общие результаты по управлению портфелем в разрезе достигнутой доходности, показателей риска портфеля и уровня изменчивости отклонения доходности (tracking error) в сравнении с эталонным портфелем); </w:t>
      </w:r>
      <w:r>
        <w:br/>
      </w:r>
      <w:r>
        <w:rPr>
          <w:rFonts w:ascii="Times New Roman"/>
          <w:b w:val="false"/>
          <w:i w:val="false"/>
          <w:color w:val="000000"/>
          <w:sz w:val="28"/>
        </w:rPr>
        <w:t xml:space="preserve">
      письменный отчет по состоянию соответствующих рынков и их влиянию на портфель; </w:t>
      </w:r>
      <w:r>
        <w:br/>
      </w:r>
      <w:r>
        <w:rPr>
          <w:rFonts w:ascii="Times New Roman"/>
          <w:b w:val="false"/>
          <w:i w:val="false"/>
          <w:color w:val="000000"/>
          <w:sz w:val="28"/>
        </w:rPr>
        <w:t xml:space="preserve">
      экономический обзор; </w:t>
      </w:r>
      <w:r>
        <w:br/>
      </w:r>
      <w:r>
        <w:rPr>
          <w:rFonts w:ascii="Times New Roman"/>
          <w:b w:val="false"/>
          <w:i w:val="false"/>
          <w:color w:val="000000"/>
          <w:sz w:val="28"/>
        </w:rPr>
        <w:t xml:space="preserve">
      обзор стратегии и объяснение наиболее важных изменений в структуре портфеля; </w:t>
      </w:r>
      <w:r>
        <w:br/>
      </w:r>
      <w:r>
        <w:rPr>
          <w:rFonts w:ascii="Times New Roman"/>
          <w:b w:val="false"/>
          <w:i w:val="false"/>
          <w:color w:val="000000"/>
          <w:sz w:val="28"/>
        </w:rPr>
        <w:t xml:space="preserve">
      текущая стратегия инвестирования; </w:t>
      </w:r>
      <w:r>
        <w:br/>
      </w:r>
      <w:r>
        <w:rPr>
          <w:rFonts w:ascii="Times New Roman"/>
          <w:b w:val="false"/>
          <w:i w:val="false"/>
          <w:color w:val="000000"/>
          <w:sz w:val="28"/>
        </w:rPr>
        <w:t>
      вклад различных факторов в доходность портфеля (performance attribution report) для активного типа мандата с периодичностью на конец каждого квартала и года;</w:t>
      </w:r>
      <w:r>
        <w:br/>
      </w:r>
      <w:r>
        <w:rPr>
          <w:rFonts w:ascii="Times New Roman"/>
          <w:b w:val="false"/>
          <w:i w:val="false"/>
          <w:color w:val="000000"/>
          <w:sz w:val="28"/>
        </w:rPr>
        <w:t>
</w:t>
      </w:r>
      <w:r>
        <w:rPr>
          <w:rFonts w:ascii="Times New Roman"/>
          <w:b w:val="false"/>
          <w:i w:val="false"/>
          <w:color w:val="000000"/>
          <w:sz w:val="28"/>
        </w:rPr>
        <w:t xml:space="preserve">
      12) ежемесячно на конец каждого месяца внешний управляющий проводит сверку (reconciliation) состава портфеля, переданного во внешнее управление, с данными банка(-ов)-кастодиана(-ов) в соответствии с установленными сроками; </w:t>
      </w:r>
      <w:r>
        <w:br/>
      </w:r>
      <w:r>
        <w:rPr>
          <w:rFonts w:ascii="Times New Roman"/>
          <w:b w:val="false"/>
          <w:i w:val="false"/>
          <w:color w:val="000000"/>
          <w:sz w:val="28"/>
        </w:rPr>
        <w:t>
</w:t>
      </w:r>
      <w:r>
        <w:rPr>
          <w:rFonts w:ascii="Times New Roman"/>
          <w:b w:val="false"/>
          <w:i w:val="false"/>
          <w:color w:val="000000"/>
          <w:sz w:val="28"/>
        </w:rPr>
        <w:t xml:space="preserve">
      13) возможность внесения изменений и дополнений в соглашение о передаче активов во внешнее управление с письменного согласия обеих сторон; </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исключен постановлением Правления Национального Банка РК от 29.04.2011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ff0000"/>
          <w:sz w:val="28"/>
        </w:rPr>
        <w:t xml:space="preserve">исключен постановлением Правления Национального Банка РК от 29.04.2011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r>
        <w:br/>
      </w:r>
      <w:r>
        <w:rPr>
          <w:rFonts w:ascii="Times New Roman"/>
          <w:b w:val="false"/>
          <w:i w:val="false"/>
          <w:color w:val="000000"/>
          <w:sz w:val="28"/>
        </w:rPr>
        <w:t>
      Обязательным условием рассмотрения предложения внешнего управляющего является его подтверждение по включению требований настоящего пункта в соглашение по внешнему управлению.</w:t>
      </w:r>
      <w:r>
        <w:br/>
      </w:r>
      <w:r>
        <w:rPr>
          <w:rFonts w:ascii="Times New Roman"/>
          <w:b w:val="false"/>
          <w:i w:val="false"/>
          <w:color w:val="000000"/>
          <w:sz w:val="28"/>
        </w:rPr>
        <w:t>
      </w:t>
      </w:r>
      <w:r>
        <w:rPr>
          <w:rFonts w:ascii="Times New Roman"/>
          <w:b w:val="false"/>
          <w:i w:val="false"/>
          <w:color w:val="ff0000"/>
          <w:sz w:val="28"/>
        </w:rPr>
        <w:t xml:space="preserve">Сноска. Пункт 26 с изменениями, внесенными постановлением Правления Национального Банка РК от 29.04.2011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p>
    <w:bookmarkEnd w:id="29"/>
    <w:bookmarkStart w:name="z38" w:id="30"/>
    <w:p>
      <w:pPr>
        <w:spacing w:after="0"/>
        <w:ind w:left="0"/>
        <w:jc w:val="both"/>
      </w:pPr>
      <w:r>
        <w:rPr>
          <w:rFonts w:ascii="Times New Roman"/>
          <w:b w:val="false"/>
          <w:i w:val="false"/>
          <w:color w:val="000000"/>
          <w:sz w:val="28"/>
        </w:rPr>
        <w:t xml:space="preserve">
      27. Соглашение о передаче активов во внешнее управление со стороны Национального Банка подписывается Полномочным представителем или Председателем или Заместителем Председателя Национального Банка. </w:t>
      </w:r>
    </w:p>
    <w:bookmarkEnd w:id="30"/>
    <w:bookmarkStart w:name="z39" w:id="31"/>
    <w:p>
      <w:pPr>
        <w:spacing w:after="0"/>
        <w:ind w:left="0"/>
        <w:jc w:val="both"/>
      </w:pPr>
      <w:r>
        <w:rPr>
          <w:rFonts w:ascii="Times New Roman"/>
          <w:b w:val="false"/>
          <w:i w:val="false"/>
          <w:color w:val="000000"/>
          <w:sz w:val="28"/>
        </w:rPr>
        <w:t xml:space="preserve">
      28. В соответствии с подписанными соглашениями Национальный Банк осуществляет передачу части активов Фонда во внешнее управление путем перевода денег и ценных бумаг на счета Национального Банка у банка(-ов)-кастодиана(-ов), предназначенные для внешнего управления. </w:t>
      </w:r>
    </w:p>
    <w:bookmarkEnd w:id="31"/>
    <w:bookmarkStart w:name="z40" w:id="32"/>
    <w:p>
      <w:pPr>
        <w:spacing w:after="0"/>
        <w:ind w:left="0"/>
        <w:jc w:val="both"/>
      </w:pPr>
      <w:r>
        <w:rPr>
          <w:rFonts w:ascii="Times New Roman"/>
          <w:b w:val="false"/>
          <w:i w:val="false"/>
          <w:color w:val="000000"/>
          <w:sz w:val="28"/>
        </w:rPr>
        <w:t>
      29. При передаче активов во внешнее управление учитывается переходный период по переводу активов из одного вида в другой (transition period). Длительность переходного периода не превышает 15 (пятнадцати) рабочих дней.</w:t>
      </w:r>
      <w:r>
        <w:br/>
      </w:r>
      <w:r>
        <w:rPr>
          <w:rFonts w:ascii="Times New Roman"/>
          <w:b w:val="false"/>
          <w:i w:val="false"/>
          <w:color w:val="000000"/>
          <w:sz w:val="28"/>
        </w:rPr>
        <w:t>
      </w:t>
      </w:r>
      <w:r>
        <w:rPr>
          <w:rFonts w:ascii="Times New Roman"/>
          <w:b w:val="false"/>
          <w:i w:val="false"/>
          <w:color w:val="ff0000"/>
          <w:sz w:val="28"/>
        </w:rPr>
        <w:t xml:space="preserve">Сноска. Пункт 29 в редакции постановления Правления Национального Банка РК от 24.12.2014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2"/>
    <w:bookmarkStart w:name="z41" w:id="33"/>
    <w:p>
      <w:pPr>
        <w:spacing w:after="0"/>
        <w:ind w:left="0"/>
        <w:jc w:val="both"/>
      </w:pPr>
      <w:r>
        <w:rPr>
          <w:rFonts w:ascii="Times New Roman"/>
          <w:b w:val="false"/>
          <w:i w:val="false"/>
          <w:color w:val="000000"/>
          <w:sz w:val="28"/>
        </w:rPr>
        <w:t xml:space="preserve">
      30. Часть активов Фонда, передаваемая во внешнее управление, хранится на счетах Национального Банка в банке(-ах)-кастодиане(-ах) и на маржевом счете у клиринговой(-ых) организации(-ий) Фонда, с разрешения Национального Банка. </w:t>
      </w:r>
    </w:p>
    <w:bookmarkEnd w:id="33"/>
    <w:bookmarkStart w:name="z42" w:id="34"/>
    <w:p>
      <w:pPr>
        <w:spacing w:after="0"/>
        <w:ind w:left="0"/>
        <w:jc w:val="both"/>
      </w:pPr>
      <w:r>
        <w:rPr>
          <w:rFonts w:ascii="Times New Roman"/>
          <w:b w:val="false"/>
          <w:i w:val="false"/>
          <w:color w:val="000000"/>
          <w:sz w:val="28"/>
        </w:rPr>
        <w:t>
      31. Условия и ограничения соглашения о передаче активов во внешнее управление определяются в соответствии с условиями и ограничениями, установленными в рамках осуществления Национальным Банком инвестиционных операций Фонда.</w:t>
      </w:r>
      <w:r>
        <w:br/>
      </w:r>
      <w:r>
        <w:rPr>
          <w:rFonts w:ascii="Times New Roman"/>
          <w:b w:val="false"/>
          <w:i w:val="false"/>
          <w:color w:val="000000"/>
          <w:sz w:val="28"/>
        </w:rPr>
        <w:t>
      </w:t>
      </w:r>
      <w:r>
        <w:rPr>
          <w:rFonts w:ascii="Times New Roman"/>
          <w:b w:val="false"/>
          <w:i w:val="false"/>
          <w:color w:val="ff0000"/>
          <w:sz w:val="28"/>
        </w:rPr>
        <w:t xml:space="preserve">Сноска. Пункт 31 в редакции постановления Правления Национального Банка РК от 24.12.2014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31-1. Требования, установленные настоящей Главой, за исключением подпункта 6) пункта 26, распространяются на отношения, возникающие между Национальным Банком и внешним транзитным управляющим при осуществлении последним внешнего транзитного управления.</w:t>
      </w:r>
      <w:r>
        <w:br/>
      </w:r>
      <w:r>
        <w:rPr>
          <w:rFonts w:ascii="Times New Roman"/>
          <w:b w:val="false"/>
          <w:i w:val="false"/>
          <w:color w:val="000000"/>
          <w:sz w:val="28"/>
        </w:rPr>
        <w:t>
      </w:t>
      </w:r>
      <w:r>
        <w:rPr>
          <w:rFonts w:ascii="Times New Roman"/>
          <w:b w:val="false"/>
          <w:i w:val="false"/>
          <w:color w:val="ff0000"/>
          <w:sz w:val="28"/>
        </w:rPr>
        <w:t xml:space="preserve">Сноска. Глава 5 дополнена пунктом 31-1 в соответствии с постановлением Правления Национального Банка РК от 30.11.2009 </w:t>
      </w:r>
      <w:r>
        <w:rPr>
          <w:rFonts w:ascii="Times New Roman"/>
          <w:b w:val="false"/>
          <w:i w:val="false"/>
          <w:color w:val="000000"/>
          <w:sz w:val="28"/>
        </w:rPr>
        <w:t>№ 105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с изменениями, внесенными постановлением Правления Национального Банка РК от 21.05.2010 </w:t>
      </w:r>
      <w:r>
        <w:rPr>
          <w:rFonts w:ascii="Times New Roman"/>
          <w:b w:val="false"/>
          <w:i w:val="false"/>
          <w:color w:val="000000"/>
          <w:sz w:val="28"/>
        </w:rPr>
        <w:t>№ 43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34"/>
    <w:bookmarkStart w:name="z43" w:id="35"/>
    <w:p>
      <w:pPr>
        <w:spacing w:after="0"/>
        <w:ind w:left="0"/>
        <w:jc w:val="left"/>
      </w:pPr>
      <w:r>
        <w:rPr>
          <w:rFonts w:ascii="Times New Roman"/>
          <w:b/>
          <w:i w:val="false"/>
          <w:color w:val="000000"/>
        </w:rPr>
        <w:t xml:space="preserve"> 
6. Результаты внешнего управления и мониторинг </w:t>
      </w:r>
    </w:p>
    <w:bookmarkEnd w:id="35"/>
    <w:p>
      <w:pPr>
        <w:spacing w:after="0"/>
        <w:ind w:left="0"/>
        <w:jc w:val="both"/>
      </w:pPr>
      <w:r>
        <w:rPr>
          <w:rFonts w:ascii="Times New Roman"/>
          <w:b w:val="false"/>
          <w:i w:val="false"/>
          <w:color w:val="ff0000"/>
          <w:sz w:val="28"/>
        </w:rPr>
        <w:t xml:space="preserve">      Сноска. Заголовок главы 6 в редакции постановления Правления Национального Банка РК от 24.12.2014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 w:id="36"/>
    <w:p>
      <w:pPr>
        <w:spacing w:after="0"/>
        <w:ind w:left="0"/>
        <w:jc w:val="both"/>
      </w:pPr>
      <w:r>
        <w:rPr>
          <w:rFonts w:ascii="Times New Roman"/>
          <w:b w:val="false"/>
          <w:i w:val="false"/>
          <w:color w:val="000000"/>
          <w:sz w:val="28"/>
        </w:rPr>
        <w:t xml:space="preserve">
      32. С момента передачи активов во внешнее управление уполномоченным подразделением проводится ежедневный мониторинг деятельности внешнего управляющего: проверяется соответствие ограничениям, указанным в соглашении о передаче активов во внешнее управление, осуществляется мониторинг за сделками, совершаемыми внешним управляющим, оцениваются показатели риска и доходности портфеля во внешнем управлении. </w:t>
      </w:r>
    </w:p>
    <w:bookmarkEnd w:id="36"/>
    <w:bookmarkStart w:name="z45" w:id="37"/>
    <w:p>
      <w:pPr>
        <w:spacing w:after="0"/>
        <w:ind w:left="0"/>
        <w:jc w:val="both"/>
      </w:pPr>
      <w:r>
        <w:rPr>
          <w:rFonts w:ascii="Times New Roman"/>
          <w:b w:val="false"/>
          <w:i w:val="false"/>
          <w:color w:val="000000"/>
          <w:sz w:val="28"/>
        </w:rPr>
        <w:t>
      33. Оценка эффективности работы внешнего управляющего проводится на основе показателей, приведенных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и качества предоставленного специалистам Национального Банка и Министерства финансов обучения и технологий. </w:t>
      </w:r>
    </w:p>
    <w:bookmarkEnd w:id="37"/>
    <w:bookmarkStart w:name="z46" w:id="38"/>
    <w:p>
      <w:pPr>
        <w:spacing w:after="0"/>
        <w:ind w:left="0"/>
        <w:jc w:val="both"/>
      </w:pPr>
      <w:r>
        <w:rPr>
          <w:rFonts w:ascii="Times New Roman"/>
          <w:b w:val="false"/>
          <w:i w:val="false"/>
          <w:color w:val="000000"/>
          <w:sz w:val="28"/>
        </w:rPr>
        <w:t>
      34. С периодичностью один раз в год уполномоченное подразделение проводит встречу с внешним управляющим, на которой внешний управляющий отчитывается о результатах управления, об исполнении инвестиционных ограничений, дает оценку рыночной ситуации и ее возможном влиянии на портфель и на стратегию управления.</w:t>
      </w:r>
      <w:r>
        <w:br/>
      </w:r>
      <w:r>
        <w:rPr>
          <w:rFonts w:ascii="Times New Roman"/>
          <w:b w:val="false"/>
          <w:i w:val="false"/>
          <w:color w:val="000000"/>
          <w:sz w:val="28"/>
        </w:rPr>
        <w:t>
</w:t>
      </w:r>
      <w:r>
        <w:rPr>
          <w:rFonts w:ascii="Times New Roman"/>
          <w:b w:val="false"/>
          <w:i w:val="false"/>
          <w:color w:val="000000"/>
          <w:sz w:val="28"/>
        </w:rPr>
        <w:t>
      35. Процедура оценки эффективности работы внешнего управляющего осуществляется в соответствии с показателями оценки эффективности работы внешнего управляющего, приведенными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и по результатам проведенного анализа Правлением Национального Банка либо Полномочным представителем принимается соответствующее решение о продолжении работы с данным внешним управляющим или о ее прекращении. Решение принимается на основе результатов внешнего управляющего за период управления в 3 (три) года.</w:t>
      </w:r>
      <w:r>
        <w:br/>
      </w:r>
      <w:r>
        <w:rPr>
          <w:rFonts w:ascii="Times New Roman"/>
          <w:b w:val="false"/>
          <w:i w:val="false"/>
          <w:color w:val="000000"/>
          <w:sz w:val="28"/>
        </w:rPr>
        <w:t>
      </w:t>
      </w:r>
      <w:r>
        <w:rPr>
          <w:rFonts w:ascii="Times New Roman"/>
          <w:b w:val="false"/>
          <w:i w:val="false"/>
          <w:color w:val="ff0000"/>
          <w:sz w:val="28"/>
        </w:rPr>
        <w:t xml:space="preserve">Сноска. Пункт 35 в редакции постановления Правления Национального Банка РК от 25.05.2012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35-1. В случае если кумулятивная сверхдоходность, полученная внешним управляющим за прошлый период, отрицательная и ее абсолютное значение превышает абсолютное значение установленного лимита показателя изменчивости отклонения доходности (tracking error) по соответствующему мандату, то на рассмотрение Правления Национального Банка выносится вопрос о расторжении соглашения о доверительном управлении с данным внешним управляющим.</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35-1 в соответствии с постановлением Правления Национального Банка РК от 25.05.2012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36. Если происходит нарушение лимита Фонда, передаваемого во внешнее управление ввиду слияния двух действующих внешних управляющих, уполномоченное подразделение вносит на рассмотрение Полномочного представителя вопрос о расторжении соглашения с одним из двух внешних управляющих, показавшим низкий результат согласно показателям оценки эффективности работы внешнего управляющего, приведенным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Указанное нарушение устраняется в течение 4 (четырех) месяцев со дня возникновения.</w:t>
      </w:r>
      <w:r>
        <w:br/>
      </w:r>
      <w:r>
        <w:rPr>
          <w:rFonts w:ascii="Times New Roman"/>
          <w:b w:val="false"/>
          <w:i w:val="false"/>
          <w:color w:val="000000"/>
          <w:sz w:val="28"/>
        </w:rPr>
        <w:t>
      </w:t>
      </w:r>
      <w:r>
        <w:rPr>
          <w:rFonts w:ascii="Times New Roman"/>
          <w:b w:val="false"/>
          <w:i w:val="false"/>
          <w:color w:val="ff0000"/>
          <w:sz w:val="28"/>
        </w:rPr>
        <w:t xml:space="preserve">Сноска. Пункт 36 в редакции постановления Правления Национального Банка РК от 25.05.2012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37. Расторжение соглашения с внешним управляющим производится:</w:t>
      </w:r>
      <w:r>
        <w:br/>
      </w:r>
      <w:r>
        <w:rPr>
          <w:rFonts w:ascii="Times New Roman"/>
          <w:b w:val="false"/>
          <w:i w:val="false"/>
          <w:color w:val="000000"/>
          <w:sz w:val="28"/>
        </w:rPr>
        <w:t>
      1) при недостижении внешним управляющим сверхдоходности по управлению портфелем во внешнем управлении по сравнению с эталонным портфелем;</w:t>
      </w:r>
      <w:r>
        <w:br/>
      </w:r>
      <w:r>
        <w:rPr>
          <w:rFonts w:ascii="Times New Roman"/>
          <w:b w:val="false"/>
          <w:i w:val="false"/>
          <w:color w:val="000000"/>
          <w:sz w:val="28"/>
        </w:rPr>
        <w:t>
      2) при нарушении условий соглашения;</w:t>
      </w:r>
      <w:r>
        <w:br/>
      </w:r>
      <w:r>
        <w:rPr>
          <w:rFonts w:ascii="Times New Roman"/>
          <w:b w:val="false"/>
          <w:i w:val="false"/>
          <w:color w:val="000000"/>
          <w:sz w:val="28"/>
        </w:rPr>
        <w:t>
      3) при изменении стратегии инвестирования Фонда;</w:t>
      </w:r>
      <w:r>
        <w:br/>
      </w:r>
      <w:r>
        <w:rPr>
          <w:rFonts w:ascii="Times New Roman"/>
          <w:b w:val="false"/>
          <w:i w:val="false"/>
          <w:color w:val="000000"/>
          <w:sz w:val="28"/>
        </w:rPr>
        <w:t>
      4) по решению Полномочного представителя, Правления, Председателя или Заместителя Председателя Национального Банка, курирующего уполномоченное подразделение.</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37 в соответствии с постановлением Правления Национального Банка РК от 29.04.2011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p>
    <w:bookmarkEnd w:id="38"/>
    <w:bookmarkStart w:name="z49" w:id="39"/>
    <w:p>
      <w:pPr>
        <w:spacing w:after="0"/>
        <w:ind w:left="0"/>
        <w:jc w:val="both"/>
      </w:pPr>
      <w:r>
        <w:rPr>
          <w:rFonts w:ascii="Times New Roman"/>
          <w:b w:val="false"/>
          <w:i w:val="false"/>
          <w:color w:val="000000"/>
          <w:sz w:val="28"/>
        </w:rPr>
        <w:t xml:space="preserve">
Приложение 1 к Правилам      </w:t>
      </w:r>
      <w:r>
        <w:br/>
      </w:r>
      <w:r>
        <w:rPr>
          <w:rFonts w:ascii="Times New Roman"/>
          <w:b w:val="false"/>
          <w:i w:val="false"/>
          <w:color w:val="000000"/>
          <w:sz w:val="28"/>
        </w:rPr>
        <w:t xml:space="preserve">
выбора внешних управляющих   </w:t>
      </w:r>
      <w:r>
        <w:br/>
      </w:r>
      <w:r>
        <w:rPr>
          <w:rFonts w:ascii="Times New Roman"/>
          <w:b w:val="false"/>
          <w:i w:val="false"/>
          <w:color w:val="000000"/>
          <w:sz w:val="28"/>
        </w:rPr>
        <w:t xml:space="preserve">
активами Национального фонда </w:t>
      </w:r>
      <w:r>
        <w:br/>
      </w:r>
      <w:r>
        <w:rPr>
          <w:rFonts w:ascii="Times New Roman"/>
          <w:b w:val="false"/>
          <w:i w:val="false"/>
          <w:color w:val="000000"/>
          <w:sz w:val="28"/>
        </w:rPr>
        <w:t xml:space="preserve">
Республики Казахстан         </w:t>
      </w:r>
    </w:p>
    <w:bookmarkEnd w:id="39"/>
    <w:bookmarkStart w:name="z64" w:id="40"/>
    <w:p>
      <w:pPr>
        <w:spacing w:after="0"/>
        <w:ind w:left="0"/>
        <w:jc w:val="left"/>
      </w:pPr>
      <w:r>
        <w:rPr>
          <w:rFonts w:ascii="Times New Roman"/>
          <w:b/>
          <w:i w:val="false"/>
          <w:color w:val="000000"/>
        </w:rPr>
        <w:t xml:space="preserve"> 
Минимальная информация, запрашиваемая у внешнего управляющего</w:t>
      </w:r>
    </w:p>
    <w:bookmarkEnd w:id="40"/>
    <w:p>
      <w:pPr>
        <w:spacing w:after="0"/>
        <w:ind w:left="0"/>
        <w:jc w:val="both"/>
      </w:pPr>
      <w:r>
        <w:rPr>
          <w:rFonts w:ascii="Times New Roman"/>
          <w:b w:val="false"/>
          <w:i w:val="false"/>
          <w:color w:val="ff0000"/>
          <w:sz w:val="28"/>
        </w:rPr>
        <w:t xml:space="preserve">      Сноска. Приложение 1 с изменениями, внесенными постановлениями Правления Национального Банка РК от 30.04.2007 </w:t>
      </w:r>
      <w:r>
        <w:rPr>
          <w:rFonts w:ascii="Times New Roman"/>
          <w:b w:val="false"/>
          <w:i w:val="false"/>
          <w:color w:val="ff0000"/>
          <w:sz w:val="28"/>
        </w:rPr>
        <w:t>N 48</w:t>
      </w:r>
      <w:r>
        <w:rPr>
          <w:rFonts w:ascii="Times New Roman"/>
          <w:b w:val="false"/>
          <w:i w:val="false"/>
          <w:color w:val="ff0000"/>
          <w:sz w:val="28"/>
        </w:rPr>
        <w:t xml:space="preserve"> (вводится в действие по истечении 14 дней со дня гос. регистрации); от 30.11.2009 </w:t>
      </w:r>
      <w:r>
        <w:rPr>
          <w:rFonts w:ascii="Times New Roman"/>
          <w:b w:val="false"/>
          <w:i w:val="false"/>
          <w:color w:val="ff0000"/>
          <w:sz w:val="28"/>
        </w:rPr>
        <w:t>№ 105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29.04.2011 </w:t>
      </w:r>
      <w:r>
        <w:rPr>
          <w:rFonts w:ascii="Times New Roman"/>
          <w:b w:val="false"/>
          <w:i w:val="false"/>
          <w:color w:val="ff0000"/>
          <w:sz w:val="28"/>
        </w:rPr>
        <w:t>№ 46</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p>
    <w:p>
      <w:pPr>
        <w:spacing w:after="0"/>
        <w:ind w:left="0"/>
        <w:jc w:val="both"/>
      </w:pPr>
      <w:r>
        <w:rPr>
          <w:rFonts w:ascii="Times New Roman"/>
          <w:b w:val="false"/>
          <w:i w:val="false"/>
          <w:color w:val="000000"/>
          <w:sz w:val="28"/>
        </w:rPr>
        <w:t xml:space="preserve">      1. Опыт работы организации по рассматриваемому типу мандата. </w:t>
      </w:r>
      <w:r>
        <w:br/>
      </w:r>
      <w:r>
        <w:rPr>
          <w:rFonts w:ascii="Times New Roman"/>
          <w:b w:val="false"/>
          <w:i w:val="false"/>
          <w:color w:val="000000"/>
          <w:sz w:val="28"/>
        </w:rPr>
        <w:t xml:space="preserve">
      2. Активы клиентов под управлением за последние 5 лет, в том числе: </w:t>
      </w:r>
      <w:r>
        <w:br/>
      </w:r>
      <w:r>
        <w:rPr>
          <w:rFonts w:ascii="Times New Roman"/>
          <w:b w:val="false"/>
          <w:i w:val="false"/>
          <w:color w:val="000000"/>
          <w:sz w:val="28"/>
        </w:rPr>
        <w:t xml:space="preserve">
      1) общие активы под управлением; </w:t>
      </w:r>
      <w:r>
        <w:br/>
      </w:r>
      <w:r>
        <w:rPr>
          <w:rFonts w:ascii="Times New Roman"/>
          <w:b w:val="false"/>
          <w:i w:val="false"/>
          <w:color w:val="000000"/>
          <w:sz w:val="28"/>
        </w:rPr>
        <w:t xml:space="preserve">
      2) активы по рассматриваемому типу мандата; </w:t>
      </w:r>
      <w:r>
        <w:br/>
      </w:r>
      <w:r>
        <w:rPr>
          <w:rFonts w:ascii="Times New Roman"/>
          <w:b w:val="false"/>
          <w:i w:val="false"/>
          <w:color w:val="000000"/>
          <w:sz w:val="28"/>
        </w:rPr>
        <w:t xml:space="preserve">
      3) активы институциональных клиентов; </w:t>
      </w:r>
      <w:r>
        <w:br/>
      </w:r>
      <w:r>
        <w:rPr>
          <w:rFonts w:ascii="Times New Roman"/>
          <w:b w:val="false"/>
          <w:i w:val="false"/>
          <w:color w:val="000000"/>
          <w:sz w:val="28"/>
        </w:rPr>
        <w:t xml:space="preserve">
      4) активы центральных банков. </w:t>
      </w:r>
      <w:r>
        <w:br/>
      </w:r>
      <w:r>
        <w:rPr>
          <w:rFonts w:ascii="Times New Roman"/>
          <w:b w:val="false"/>
          <w:i w:val="false"/>
          <w:color w:val="000000"/>
          <w:sz w:val="28"/>
        </w:rPr>
        <w:t xml:space="preserve">
      3. Информация о портфельных менеджерах и менеджерах по связям с клиентами, которые будут ответственными за активы, переданные во внешнее управление. </w:t>
      </w:r>
      <w:r>
        <w:br/>
      </w:r>
      <w:r>
        <w:rPr>
          <w:rFonts w:ascii="Times New Roman"/>
          <w:b w:val="false"/>
          <w:i w:val="false"/>
          <w:color w:val="000000"/>
          <w:sz w:val="28"/>
        </w:rPr>
        <w:t xml:space="preserve">
      4. Информация о текучести персонала за последние 5 лет среди портфельных менеджеров и аналитиков. </w:t>
      </w:r>
      <w:r>
        <w:br/>
      </w:r>
      <w:r>
        <w:rPr>
          <w:rFonts w:ascii="Times New Roman"/>
          <w:b w:val="false"/>
          <w:i w:val="false"/>
          <w:color w:val="000000"/>
          <w:sz w:val="28"/>
        </w:rPr>
        <w:t>
      5. Подробное описание инвестиционного процесса, методов управления портфелем, исследования рынка, используемые источники финансовой информации или модели оценки финансовых инструментов.</w:t>
      </w:r>
      <w:r>
        <w:br/>
      </w:r>
      <w:r>
        <w:rPr>
          <w:rFonts w:ascii="Times New Roman"/>
          <w:b w:val="false"/>
          <w:i w:val="false"/>
          <w:color w:val="000000"/>
          <w:sz w:val="28"/>
        </w:rPr>
        <w:t xml:space="preserve">
      6. Каким образом осуществляется моделирование, мониторинг и управление активным рыночным риском (в случае если рассматриваемый тип мандата относится к активному управлению). </w:t>
      </w:r>
      <w:r>
        <w:br/>
      </w:r>
      <w:r>
        <w:rPr>
          <w:rFonts w:ascii="Times New Roman"/>
          <w:b w:val="false"/>
          <w:i w:val="false"/>
          <w:color w:val="000000"/>
          <w:sz w:val="28"/>
        </w:rPr>
        <w:t>
      7. Наличие специализированного программного обеспечения по контролю и управлению рисками.</w:t>
      </w:r>
      <w:r>
        <w:br/>
      </w:r>
      <w:r>
        <w:rPr>
          <w:rFonts w:ascii="Times New Roman"/>
          <w:b w:val="false"/>
          <w:i w:val="false"/>
          <w:color w:val="000000"/>
          <w:sz w:val="28"/>
        </w:rPr>
        <w:t xml:space="preserve">
      8. Исторические результаты управления портфелем с аналогичным или близким эталонным портфелем и типом мандата за последние 5 лет. </w:t>
      </w:r>
      <w:r>
        <w:br/>
      </w:r>
      <w:r>
        <w:rPr>
          <w:rFonts w:ascii="Times New Roman"/>
          <w:b w:val="false"/>
          <w:i w:val="false"/>
          <w:color w:val="000000"/>
          <w:sz w:val="28"/>
        </w:rPr>
        <w:t xml:space="preserve">
      9. </w:t>
      </w:r>
      <w:r>
        <w:rPr>
          <w:rFonts w:ascii="Times New Roman"/>
          <w:b w:val="false"/>
          <w:i w:val="false"/>
          <w:color w:val="ff0000"/>
          <w:sz w:val="28"/>
        </w:rPr>
        <w:t xml:space="preserve">Исключен постановлением Правления Национального Банка РК от 29.04.2011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r>
        <w:br/>
      </w:r>
      <w:r>
        <w:rPr>
          <w:rFonts w:ascii="Times New Roman"/>
          <w:b w:val="false"/>
          <w:i w:val="false"/>
          <w:color w:val="000000"/>
          <w:sz w:val="28"/>
        </w:rPr>
        <w:t>
      10. Описание программного обеспечения, используемого для расчета доходности, риска, применяемых в бухгалтерской и аналитической отчетности.</w:t>
      </w:r>
      <w:r>
        <w:br/>
      </w:r>
      <w:r>
        <w:rPr>
          <w:rFonts w:ascii="Times New Roman"/>
          <w:b w:val="false"/>
          <w:i w:val="false"/>
          <w:color w:val="000000"/>
          <w:sz w:val="28"/>
        </w:rPr>
        <w:t xml:space="preserve">
      11. Описание внутренней корпоративной этики. </w:t>
      </w:r>
      <w:r>
        <w:br/>
      </w:r>
      <w:r>
        <w:rPr>
          <w:rFonts w:ascii="Times New Roman"/>
          <w:b w:val="false"/>
          <w:i w:val="false"/>
          <w:color w:val="000000"/>
          <w:sz w:val="28"/>
        </w:rPr>
        <w:t xml:space="preserve">
      12. Ответственность внешнего управляющего перед Национальным Банком в случае нарушения условий соглашения по внешнему управлению. </w:t>
      </w:r>
      <w:r>
        <w:br/>
      </w:r>
      <w:r>
        <w:rPr>
          <w:rFonts w:ascii="Times New Roman"/>
          <w:b w:val="false"/>
          <w:i w:val="false"/>
          <w:color w:val="000000"/>
          <w:sz w:val="28"/>
        </w:rPr>
        <w:t xml:space="preserve">
      13. Какие виды страхования используются для защиты клиента от ошибок внешнего управляющего. </w:t>
      </w:r>
      <w:r>
        <w:br/>
      </w:r>
      <w:r>
        <w:rPr>
          <w:rFonts w:ascii="Times New Roman"/>
          <w:b w:val="false"/>
          <w:i w:val="false"/>
          <w:color w:val="000000"/>
          <w:sz w:val="28"/>
        </w:rPr>
        <w:t xml:space="preserve">
      14. Кредитный рейтинг головной организации (если имеется), возможность внешнего управляющего предоставить гарантию его головной организации о компенсации ущерба при невыполнении внешним управляющим условий соглашения о передаче активов во внешнее управление, либо возможность подписания соглашения о передаче активов во внешнее управление непосредственно с головной организацией, либо в виде трехстороннего соглашения между Национальным Банком, внешним управляющим и его головной организацией. </w:t>
      </w:r>
      <w:r>
        <w:br/>
      </w:r>
      <w:r>
        <w:rPr>
          <w:rFonts w:ascii="Times New Roman"/>
          <w:b w:val="false"/>
          <w:i w:val="false"/>
          <w:color w:val="000000"/>
          <w:sz w:val="28"/>
        </w:rPr>
        <w:t>
      15. Условия предоставляемого для клиентов тренинга.</w:t>
      </w:r>
      <w:r>
        <w:br/>
      </w:r>
      <w:r>
        <w:rPr>
          <w:rFonts w:ascii="Times New Roman"/>
          <w:b w:val="false"/>
          <w:i w:val="false"/>
          <w:color w:val="000000"/>
          <w:sz w:val="28"/>
        </w:rPr>
        <w:t>
      16. Информация о предполагаемом уровне комиссии за управление.</w:t>
      </w:r>
      <w:r>
        <w:br/>
      </w:r>
      <w:r>
        <w:rPr>
          <w:rFonts w:ascii="Times New Roman"/>
          <w:b w:val="false"/>
          <w:i w:val="false"/>
          <w:color w:val="000000"/>
          <w:sz w:val="28"/>
        </w:rPr>
        <w:t xml:space="preserve">
      17. Последнее аудиторское заключение финансовой отчетности внешнего управляющего. </w:t>
      </w:r>
      <w:r>
        <w:br/>
      </w:r>
      <w:r>
        <w:rPr>
          <w:rFonts w:ascii="Times New Roman"/>
          <w:b w:val="false"/>
          <w:i w:val="false"/>
          <w:color w:val="000000"/>
          <w:sz w:val="28"/>
        </w:rPr>
        <w:t xml:space="preserve">
      18. </w:t>
      </w:r>
      <w:r>
        <w:rPr>
          <w:rFonts w:ascii="Times New Roman"/>
          <w:b w:val="false"/>
          <w:i w:val="false"/>
          <w:color w:val="ff0000"/>
          <w:sz w:val="28"/>
        </w:rPr>
        <w:t xml:space="preserve">Исключен постановлением Правления Национального Банка РК от 29.04.2011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p>
    <w:bookmarkStart w:name="z50" w:id="41"/>
    <w:p>
      <w:pPr>
        <w:spacing w:after="0"/>
        <w:ind w:left="0"/>
        <w:jc w:val="both"/>
      </w:pPr>
      <w:r>
        <w:rPr>
          <w:rFonts w:ascii="Times New Roman"/>
          <w:b w:val="false"/>
          <w:i w:val="false"/>
          <w:color w:val="000000"/>
          <w:sz w:val="28"/>
        </w:rPr>
        <w:t xml:space="preserve">
Приложение 2 к Правилам      </w:t>
      </w:r>
      <w:r>
        <w:br/>
      </w:r>
      <w:r>
        <w:rPr>
          <w:rFonts w:ascii="Times New Roman"/>
          <w:b w:val="false"/>
          <w:i w:val="false"/>
          <w:color w:val="000000"/>
          <w:sz w:val="28"/>
        </w:rPr>
        <w:t xml:space="preserve">
выбора внешних управляющих   </w:t>
      </w:r>
      <w:r>
        <w:br/>
      </w:r>
      <w:r>
        <w:rPr>
          <w:rFonts w:ascii="Times New Roman"/>
          <w:b w:val="false"/>
          <w:i w:val="false"/>
          <w:color w:val="000000"/>
          <w:sz w:val="28"/>
        </w:rPr>
        <w:t xml:space="preserve">
активами Национального фонда </w:t>
      </w:r>
      <w:r>
        <w:br/>
      </w:r>
      <w:r>
        <w:rPr>
          <w:rFonts w:ascii="Times New Roman"/>
          <w:b w:val="false"/>
          <w:i w:val="false"/>
          <w:color w:val="000000"/>
          <w:sz w:val="28"/>
        </w:rPr>
        <w:t xml:space="preserve">
Республики Казахстан         </w:t>
      </w:r>
    </w:p>
    <w:bookmarkEnd w:id="41"/>
    <w:bookmarkStart w:name="z65" w:id="42"/>
    <w:p>
      <w:pPr>
        <w:spacing w:after="0"/>
        <w:ind w:left="0"/>
        <w:jc w:val="left"/>
      </w:pPr>
      <w:r>
        <w:rPr>
          <w:rFonts w:ascii="Times New Roman"/>
          <w:b/>
          <w:i w:val="false"/>
          <w:color w:val="000000"/>
        </w:rPr>
        <w:t xml:space="preserve"> 
Оценочные критерии для сравнительного анализа</w:t>
      </w:r>
      <w:r>
        <w:br/>
      </w:r>
      <w:r>
        <w:rPr>
          <w:rFonts w:ascii="Times New Roman"/>
          <w:b/>
          <w:i w:val="false"/>
          <w:color w:val="000000"/>
        </w:rPr>
        <w:t>
предложений внешних управляющих</w:t>
      </w:r>
    </w:p>
    <w:bookmarkEnd w:id="42"/>
    <w:p>
      <w:pPr>
        <w:spacing w:after="0"/>
        <w:ind w:left="0"/>
        <w:jc w:val="both"/>
      </w:pPr>
      <w:r>
        <w:rPr>
          <w:rFonts w:ascii="Times New Roman"/>
          <w:b w:val="false"/>
          <w:i w:val="false"/>
          <w:color w:val="ff0000"/>
          <w:sz w:val="28"/>
        </w:rPr>
        <w:t xml:space="preserve">      Сноска. Приложение 2 в редакции постановления Правления Национального Банка РК от 28.04.2012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7703"/>
        <w:gridCol w:w="2935"/>
      </w:tblGrid>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Значимость</w:t>
            </w:r>
            <w:r>
              <w:br/>
            </w:r>
            <w:r>
              <w:rPr>
                <w:rFonts w:ascii="Times New Roman"/>
                <w:b w:val="false"/>
                <w:i w:val="false"/>
                <w:color w:val="000000"/>
                <w:sz w:val="20"/>
              </w:rPr>
              <w:t>
критерия</w:t>
            </w:r>
            <w:r>
              <w:br/>
            </w:r>
            <w:r>
              <w:rPr>
                <w:rFonts w:ascii="Times New Roman"/>
                <w:b w:val="false"/>
                <w:i w:val="false"/>
                <w:color w:val="000000"/>
                <w:sz w:val="20"/>
              </w:rPr>
              <w:t>
(в процентах)</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Исторические результаты управления</w:t>
            </w:r>
            <w:r>
              <w:br/>
            </w:r>
            <w:r>
              <w:rPr>
                <w:rFonts w:ascii="Times New Roman"/>
                <w:b w:val="false"/>
                <w:i w:val="false"/>
                <w:color w:val="000000"/>
                <w:sz w:val="20"/>
              </w:rPr>
              <w:t>
портфелем (при проведении</w:t>
            </w:r>
            <w:r>
              <w:br/>
            </w:r>
            <w:r>
              <w:rPr>
                <w:rFonts w:ascii="Times New Roman"/>
                <w:b w:val="false"/>
                <w:i w:val="false"/>
                <w:color w:val="000000"/>
                <w:sz w:val="20"/>
              </w:rPr>
              <w:t>
сравнительного анализа предложений</w:t>
            </w:r>
            <w:r>
              <w:br/>
            </w:r>
            <w:r>
              <w:rPr>
                <w:rFonts w:ascii="Times New Roman"/>
                <w:b w:val="false"/>
                <w:i w:val="false"/>
                <w:color w:val="000000"/>
                <w:sz w:val="20"/>
              </w:rPr>
              <w:t>
потенциальных внешних управляющих,</w:t>
            </w:r>
            <w:r>
              <w:br/>
            </w:r>
            <w:r>
              <w:rPr>
                <w:rFonts w:ascii="Times New Roman"/>
                <w:b w:val="false"/>
                <w:i w:val="false"/>
                <w:color w:val="000000"/>
                <w:sz w:val="20"/>
              </w:rPr>
              <w:t>
специализирующихся на региональных</w:t>
            </w:r>
            <w:r>
              <w:br/>
            </w:r>
            <w:r>
              <w:rPr>
                <w:rFonts w:ascii="Times New Roman"/>
                <w:b w:val="false"/>
                <w:i w:val="false"/>
                <w:color w:val="000000"/>
                <w:sz w:val="20"/>
              </w:rPr>
              <w:t>
мандатах и участвующих в выборе</w:t>
            </w:r>
            <w:r>
              <w:br/>
            </w:r>
            <w:r>
              <w:rPr>
                <w:rFonts w:ascii="Times New Roman"/>
                <w:b w:val="false"/>
                <w:i w:val="false"/>
                <w:color w:val="000000"/>
                <w:sz w:val="20"/>
              </w:rPr>
              <w:t>
управляющего по глобальному мандату,</w:t>
            </w:r>
            <w:r>
              <w:br/>
            </w:r>
            <w:r>
              <w:rPr>
                <w:rFonts w:ascii="Times New Roman"/>
                <w:b w:val="false"/>
                <w:i w:val="false"/>
                <w:color w:val="000000"/>
                <w:sz w:val="20"/>
              </w:rPr>
              <w:t>
показатели нормируются в зависимости</w:t>
            </w:r>
            <w:r>
              <w:br/>
            </w:r>
            <w:r>
              <w:rPr>
                <w:rFonts w:ascii="Times New Roman"/>
                <w:b w:val="false"/>
                <w:i w:val="false"/>
                <w:color w:val="000000"/>
                <w:sz w:val="20"/>
              </w:rPr>
              <w:t>
от охвата соответствующего мандата)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показатель сверхдоходности</w:t>
            </w:r>
            <w:r>
              <w:br/>
            </w:r>
            <w:r>
              <w:rPr>
                <w:rFonts w:ascii="Times New Roman"/>
                <w:b w:val="false"/>
                <w:i w:val="false"/>
                <w:color w:val="000000"/>
                <w:sz w:val="20"/>
              </w:rPr>
              <w:t>
за последние 3-5 лет (в случае если</w:t>
            </w:r>
            <w:r>
              <w:br/>
            </w:r>
            <w:r>
              <w:rPr>
                <w:rFonts w:ascii="Times New Roman"/>
                <w:b w:val="false"/>
                <w:i w:val="false"/>
                <w:color w:val="000000"/>
                <w:sz w:val="20"/>
              </w:rPr>
              <w:t>
показатель сверхдоходности за период</w:t>
            </w:r>
            <w:r>
              <w:br/>
            </w:r>
            <w:r>
              <w:rPr>
                <w:rFonts w:ascii="Times New Roman"/>
                <w:b w:val="false"/>
                <w:i w:val="false"/>
                <w:color w:val="000000"/>
                <w:sz w:val="20"/>
              </w:rPr>
              <w:t>
менее 5 лет положительный,</w:t>
            </w:r>
            <w:r>
              <w:br/>
            </w:r>
            <w:r>
              <w:rPr>
                <w:rFonts w:ascii="Times New Roman"/>
                <w:b w:val="false"/>
                <w:i w:val="false"/>
                <w:color w:val="000000"/>
                <w:sz w:val="20"/>
              </w:rPr>
              <w:t>
показатель нормируется относительно</w:t>
            </w:r>
            <w:r>
              <w:br/>
            </w:r>
            <w:r>
              <w:rPr>
                <w:rFonts w:ascii="Times New Roman"/>
                <w:b w:val="false"/>
                <w:i w:val="false"/>
                <w:color w:val="000000"/>
                <w:sz w:val="20"/>
              </w:rPr>
              <w:t>
периода в 5 лет)</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показатель информационного</w:t>
            </w:r>
            <w:r>
              <w:br/>
            </w:r>
            <w:r>
              <w:rPr>
                <w:rFonts w:ascii="Times New Roman"/>
                <w:b w:val="false"/>
                <w:i w:val="false"/>
                <w:color w:val="000000"/>
                <w:sz w:val="20"/>
              </w:rPr>
              <w:t>
коэффициента за последние 3-5 лет (в</w:t>
            </w:r>
            <w:r>
              <w:br/>
            </w:r>
            <w:r>
              <w:rPr>
                <w:rFonts w:ascii="Times New Roman"/>
                <w:b w:val="false"/>
                <w:i w:val="false"/>
                <w:color w:val="000000"/>
                <w:sz w:val="20"/>
              </w:rPr>
              <w:t>
случае если показатель</w:t>
            </w:r>
            <w:r>
              <w:br/>
            </w:r>
            <w:r>
              <w:rPr>
                <w:rFonts w:ascii="Times New Roman"/>
                <w:b w:val="false"/>
                <w:i w:val="false"/>
                <w:color w:val="000000"/>
                <w:sz w:val="20"/>
              </w:rPr>
              <w:t>
информационного коэффициента за</w:t>
            </w:r>
            <w:r>
              <w:br/>
            </w:r>
            <w:r>
              <w:rPr>
                <w:rFonts w:ascii="Times New Roman"/>
                <w:b w:val="false"/>
                <w:i w:val="false"/>
                <w:color w:val="000000"/>
                <w:sz w:val="20"/>
              </w:rPr>
              <w:t>
период менее 5 лет положительный,</w:t>
            </w:r>
            <w:r>
              <w:br/>
            </w:r>
            <w:r>
              <w:rPr>
                <w:rFonts w:ascii="Times New Roman"/>
                <w:b w:val="false"/>
                <w:i w:val="false"/>
                <w:color w:val="000000"/>
                <w:sz w:val="20"/>
              </w:rPr>
              <w:t>
показатель нормируется относительно</w:t>
            </w:r>
            <w:r>
              <w:br/>
            </w:r>
            <w:r>
              <w:rPr>
                <w:rFonts w:ascii="Times New Roman"/>
                <w:b w:val="false"/>
                <w:i w:val="false"/>
                <w:color w:val="000000"/>
                <w:sz w:val="20"/>
              </w:rPr>
              <w:t>
периода в 5 лет)</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объема активов по данному</w:t>
            </w:r>
            <w:r>
              <w:br/>
            </w:r>
            <w:r>
              <w:rPr>
                <w:rFonts w:ascii="Times New Roman"/>
                <w:b w:val="false"/>
                <w:i w:val="false"/>
                <w:color w:val="000000"/>
                <w:sz w:val="20"/>
              </w:rPr>
              <w:t>
типу мандата к общим активам под</w:t>
            </w:r>
            <w:r>
              <w:br/>
            </w:r>
            <w:r>
              <w:rPr>
                <w:rFonts w:ascii="Times New Roman"/>
                <w:b w:val="false"/>
                <w:i w:val="false"/>
                <w:color w:val="000000"/>
                <w:sz w:val="20"/>
              </w:rPr>
              <w:t>
управлением (при проведении</w:t>
            </w:r>
            <w:r>
              <w:br/>
            </w:r>
            <w:r>
              <w:rPr>
                <w:rFonts w:ascii="Times New Roman"/>
                <w:b w:val="false"/>
                <w:i w:val="false"/>
                <w:color w:val="000000"/>
                <w:sz w:val="20"/>
              </w:rPr>
              <w:t>
сравнительного анализа предложений</w:t>
            </w:r>
            <w:r>
              <w:br/>
            </w:r>
            <w:r>
              <w:rPr>
                <w:rFonts w:ascii="Times New Roman"/>
                <w:b w:val="false"/>
                <w:i w:val="false"/>
                <w:color w:val="000000"/>
                <w:sz w:val="20"/>
              </w:rPr>
              <w:t>
потенциальных внешних управляющих,</w:t>
            </w:r>
            <w:r>
              <w:br/>
            </w:r>
            <w:r>
              <w:rPr>
                <w:rFonts w:ascii="Times New Roman"/>
                <w:b w:val="false"/>
                <w:i w:val="false"/>
                <w:color w:val="000000"/>
                <w:sz w:val="20"/>
              </w:rPr>
              <w:t>
специализирующихся на региональных</w:t>
            </w:r>
            <w:r>
              <w:br/>
            </w:r>
            <w:r>
              <w:rPr>
                <w:rFonts w:ascii="Times New Roman"/>
                <w:b w:val="false"/>
                <w:i w:val="false"/>
                <w:color w:val="000000"/>
                <w:sz w:val="20"/>
              </w:rPr>
              <w:t>
мандатах и участвующих в выборе</w:t>
            </w:r>
            <w:r>
              <w:br/>
            </w:r>
            <w:r>
              <w:rPr>
                <w:rFonts w:ascii="Times New Roman"/>
                <w:b w:val="false"/>
                <w:i w:val="false"/>
                <w:color w:val="000000"/>
                <w:sz w:val="20"/>
              </w:rPr>
              <w:t>
управляющего по глобальному мандату,</w:t>
            </w:r>
            <w:r>
              <w:br/>
            </w:r>
            <w:r>
              <w:rPr>
                <w:rFonts w:ascii="Times New Roman"/>
                <w:b w:val="false"/>
                <w:i w:val="false"/>
                <w:color w:val="000000"/>
                <w:sz w:val="20"/>
              </w:rPr>
              <w:t>
используется объем активов по</w:t>
            </w:r>
            <w:r>
              <w:br/>
            </w:r>
            <w:r>
              <w:rPr>
                <w:rFonts w:ascii="Times New Roman"/>
                <w:b w:val="false"/>
                <w:i w:val="false"/>
                <w:color w:val="000000"/>
                <w:sz w:val="20"/>
              </w:rPr>
              <w:t>
региональным мандатам. Данное</w:t>
            </w:r>
            <w:r>
              <w:br/>
            </w:r>
            <w:r>
              <w:rPr>
                <w:rFonts w:ascii="Times New Roman"/>
                <w:b w:val="false"/>
                <w:i w:val="false"/>
                <w:color w:val="000000"/>
                <w:sz w:val="20"/>
              </w:rPr>
              <w:t>
значение нормируется в зависимости</w:t>
            </w:r>
            <w:r>
              <w:br/>
            </w:r>
            <w:r>
              <w:rPr>
                <w:rFonts w:ascii="Times New Roman"/>
                <w:b w:val="false"/>
                <w:i w:val="false"/>
                <w:color w:val="000000"/>
                <w:sz w:val="20"/>
              </w:rPr>
              <w:t>
от охвата соответствующего мандата)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vMerge/>
            <w:tcBorders>
              <w:top w:val="nil"/>
              <w:left w:val="single" w:color="cfcfcf" w:sz="5"/>
              <w:bottom w:val="single" w:color="cfcfcf" w:sz="5"/>
              <w:right w:val="single" w:color="cfcfcf" w:sz="5"/>
            </w:tcBorders>
          </w:tcP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объема активов</w:t>
            </w:r>
            <w:r>
              <w:br/>
            </w:r>
            <w:r>
              <w:rPr>
                <w:rFonts w:ascii="Times New Roman"/>
                <w:b w:val="false"/>
                <w:i w:val="false"/>
                <w:color w:val="000000"/>
                <w:sz w:val="20"/>
              </w:rPr>
              <w:t>
институциональных инвесторов к общим</w:t>
            </w:r>
            <w:r>
              <w:br/>
            </w:r>
            <w:r>
              <w:rPr>
                <w:rFonts w:ascii="Times New Roman"/>
                <w:b w:val="false"/>
                <w:i w:val="false"/>
                <w:color w:val="000000"/>
                <w:sz w:val="20"/>
              </w:rPr>
              <w:t>
активам под управлением</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опыт работы портфельных</w:t>
            </w:r>
            <w:r>
              <w:br/>
            </w:r>
            <w:r>
              <w:rPr>
                <w:rFonts w:ascii="Times New Roman"/>
                <w:b w:val="false"/>
                <w:i w:val="false"/>
                <w:color w:val="000000"/>
                <w:sz w:val="20"/>
              </w:rPr>
              <w:t>
менеджеров и аналитиков,</w:t>
            </w:r>
            <w:r>
              <w:br/>
            </w:r>
            <w:r>
              <w:rPr>
                <w:rFonts w:ascii="Times New Roman"/>
                <w:b w:val="false"/>
                <w:i w:val="false"/>
                <w:color w:val="000000"/>
                <w:sz w:val="20"/>
              </w:rPr>
              <w:t>
ответственных за управление активами</w:t>
            </w:r>
            <w:r>
              <w:br/>
            </w:r>
            <w:r>
              <w:rPr>
                <w:rFonts w:ascii="Times New Roman"/>
                <w:b w:val="false"/>
                <w:i w:val="false"/>
                <w:color w:val="000000"/>
                <w:sz w:val="20"/>
              </w:rPr>
              <w:t>
по соответствующему мандату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 текучесть кадров среди</w:t>
            </w:r>
            <w:r>
              <w:br/>
            </w:r>
            <w:r>
              <w:rPr>
                <w:rFonts w:ascii="Times New Roman"/>
                <w:b w:val="false"/>
                <w:i w:val="false"/>
                <w:color w:val="000000"/>
                <w:sz w:val="20"/>
              </w:rPr>
              <w:t>
портфельных менеджеров и аналитиков</w:t>
            </w:r>
            <w:r>
              <w:br/>
            </w:r>
            <w:r>
              <w:rPr>
                <w:rFonts w:ascii="Times New Roman"/>
                <w:b w:val="false"/>
                <w:i w:val="false"/>
                <w:color w:val="000000"/>
                <w:sz w:val="20"/>
              </w:rPr>
              <w:t>
в целом по компании</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Кредитный статус</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если есть гарантия головной</w:t>
            </w:r>
            <w:r>
              <w:br/>
            </w:r>
            <w:r>
              <w:rPr>
                <w:rFonts w:ascii="Times New Roman"/>
                <w:b w:val="false"/>
                <w:i w:val="false"/>
                <w:color w:val="000000"/>
                <w:sz w:val="20"/>
              </w:rPr>
              <w:t>
организации, либо соглашение</w:t>
            </w:r>
            <w:r>
              <w:br/>
            </w:r>
            <w:r>
              <w:rPr>
                <w:rFonts w:ascii="Times New Roman"/>
                <w:b w:val="false"/>
                <w:i w:val="false"/>
                <w:color w:val="000000"/>
                <w:sz w:val="20"/>
              </w:rPr>
              <w:t>
подписывается с головной</w:t>
            </w:r>
            <w:r>
              <w:br/>
            </w:r>
            <w:r>
              <w:rPr>
                <w:rFonts w:ascii="Times New Roman"/>
                <w:b w:val="false"/>
                <w:i w:val="false"/>
                <w:color w:val="000000"/>
                <w:sz w:val="20"/>
              </w:rPr>
              <w:t>
организацией, то кредитный рейтинг</w:t>
            </w:r>
            <w:r>
              <w:br/>
            </w:r>
            <w:r>
              <w:rPr>
                <w:rFonts w:ascii="Times New Roman"/>
                <w:b w:val="false"/>
                <w:i w:val="false"/>
                <w:color w:val="000000"/>
                <w:sz w:val="20"/>
              </w:rPr>
              <w:t>
головной организации (S&amp;P или</w:t>
            </w:r>
            <w:r>
              <w:br/>
            </w:r>
            <w:r>
              <w:rPr>
                <w:rFonts w:ascii="Times New Roman"/>
                <w:b w:val="false"/>
                <w:i w:val="false"/>
                <w:color w:val="000000"/>
                <w:sz w:val="20"/>
              </w:rPr>
              <w:t>
Moody's), в противном случае</w:t>
            </w:r>
            <w:r>
              <w:br/>
            </w:r>
            <w:r>
              <w:rPr>
                <w:rFonts w:ascii="Times New Roman"/>
                <w:b w:val="false"/>
                <w:i w:val="false"/>
                <w:color w:val="000000"/>
                <w:sz w:val="20"/>
              </w:rPr>
              <w:t>
кредитный рейтинг компании</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комиссии за управление</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базовой комиссии</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принципа net new high basis</w:t>
            </w:r>
            <w:r>
              <w:br/>
            </w:r>
            <w:r>
              <w:rPr>
                <w:rFonts w:ascii="Times New Roman"/>
                <w:b w:val="false"/>
                <w:i w:val="false"/>
                <w:color w:val="000000"/>
                <w:sz w:val="20"/>
              </w:rPr>
              <w:t>
since inception</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специалистов Национального</w:t>
            </w:r>
            <w:r>
              <w:br/>
            </w:r>
            <w:r>
              <w:rPr>
                <w:rFonts w:ascii="Times New Roman"/>
                <w:b w:val="false"/>
                <w:i w:val="false"/>
                <w:color w:val="000000"/>
                <w:sz w:val="20"/>
              </w:rPr>
              <w:t>
Банка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vMerge/>
            <w:tcBorders>
              <w:top w:val="nil"/>
              <w:left w:val="single" w:color="cfcfcf" w:sz="5"/>
              <w:bottom w:val="single" w:color="cfcfcf" w:sz="5"/>
              <w:right w:val="single" w:color="cfcfcf" w:sz="5"/>
            </w:tcBorders>
          </w:tcP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ежедневная отчетность</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специализированного</w:t>
            </w:r>
            <w:r>
              <w:br/>
            </w:r>
            <w:r>
              <w:rPr>
                <w:rFonts w:ascii="Times New Roman"/>
                <w:b w:val="false"/>
                <w:i w:val="false"/>
                <w:color w:val="000000"/>
                <w:sz w:val="20"/>
              </w:rPr>
              <w:t>
программного обеспечения по контролю</w:t>
            </w:r>
            <w:r>
              <w:br/>
            </w:r>
            <w:r>
              <w:rPr>
                <w:rFonts w:ascii="Times New Roman"/>
                <w:b w:val="false"/>
                <w:i w:val="false"/>
                <w:color w:val="000000"/>
                <w:sz w:val="20"/>
              </w:rPr>
              <w:t>
и управлению рисками</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ответственности перед</w:t>
            </w:r>
            <w:r>
              <w:br/>
            </w:r>
            <w:r>
              <w:rPr>
                <w:rFonts w:ascii="Times New Roman"/>
                <w:b w:val="false"/>
                <w:i w:val="false"/>
                <w:color w:val="000000"/>
                <w:sz w:val="20"/>
              </w:rPr>
              <w:t>
Национальным Банком в случае</w:t>
            </w:r>
            <w:r>
              <w:br/>
            </w:r>
            <w:r>
              <w:rPr>
                <w:rFonts w:ascii="Times New Roman"/>
                <w:b w:val="false"/>
                <w:i w:val="false"/>
                <w:color w:val="000000"/>
                <w:sz w:val="20"/>
              </w:rPr>
              <w:t>
нарушения условий соглашения по</w:t>
            </w:r>
            <w:r>
              <w:br/>
            </w:r>
            <w:r>
              <w:rPr>
                <w:rFonts w:ascii="Times New Roman"/>
                <w:b w:val="false"/>
                <w:i w:val="false"/>
                <w:color w:val="000000"/>
                <w:sz w:val="20"/>
              </w:rPr>
              <w:t>
внешнему управлению</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51" w:id="4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выбора            </w:t>
      </w:r>
      <w:r>
        <w:br/>
      </w:r>
      <w:r>
        <w:rPr>
          <w:rFonts w:ascii="Times New Roman"/>
          <w:b w:val="false"/>
          <w:i w:val="false"/>
          <w:color w:val="000000"/>
          <w:sz w:val="28"/>
        </w:rPr>
        <w:t xml:space="preserve">
внешних управляющих активами </w:t>
      </w:r>
      <w:r>
        <w:br/>
      </w:r>
      <w:r>
        <w:rPr>
          <w:rFonts w:ascii="Times New Roman"/>
          <w:b w:val="false"/>
          <w:i w:val="false"/>
          <w:color w:val="000000"/>
          <w:sz w:val="28"/>
        </w:rPr>
        <w:t xml:space="preserve">
Национального фонда          </w:t>
      </w:r>
      <w:r>
        <w:br/>
      </w:r>
      <w:r>
        <w:rPr>
          <w:rFonts w:ascii="Times New Roman"/>
          <w:b w:val="false"/>
          <w:i w:val="false"/>
          <w:color w:val="000000"/>
          <w:sz w:val="28"/>
        </w:rPr>
        <w:t xml:space="preserve">
Республики Казахстан         </w:t>
      </w:r>
    </w:p>
    <w:bookmarkEnd w:id="43"/>
    <w:bookmarkStart w:name="z66" w:id="44"/>
    <w:p>
      <w:pPr>
        <w:spacing w:after="0"/>
        <w:ind w:left="0"/>
        <w:jc w:val="left"/>
      </w:pPr>
      <w:r>
        <w:rPr>
          <w:rFonts w:ascii="Times New Roman"/>
          <w:b/>
          <w:i w:val="false"/>
          <w:color w:val="000000"/>
        </w:rPr>
        <w:t xml:space="preserve"> 
Порядок оценки предложения внешнего управляющего</w:t>
      </w:r>
      <w:r>
        <w:br/>
      </w:r>
      <w:r>
        <w:rPr>
          <w:rFonts w:ascii="Times New Roman"/>
          <w:b/>
          <w:i w:val="false"/>
          <w:color w:val="000000"/>
        </w:rPr>
        <w:t>
в соответствии с таблицей оценочных критериев</w:t>
      </w:r>
    </w:p>
    <w:bookmarkEnd w:id="44"/>
    <w:p>
      <w:pPr>
        <w:spacing w:after="0"/>
        <w:ind w:left="0"/>
        <w:jc w:val="both"/>
      </w:pPr>
      <w:r>
        <w:rPr>
          <w:rFonts w:ascii="Times New Roman"/>
          <w:b w:val="false"/>
          <w:i w:val="false"/>
          <w:color w:val="ff0000"/>
          <w:sz w:val="28"/>
        </w:rPr>
        <w:t xml:space="preserve">       Сноска. Приложение 3 в редакции постановления Правления Национального Банка РК от 28.04.2012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45"/>
    <w:p>
      <w:pPr>
        <w:spacing w:after="0"/>
        <w:ind w:left="0"/>
        <w:jc w:val="both"/>
      </w:pPr>
      <w:r>
        <w:rPr>
          <w:rFonts w:ascii="Times New Roman"/>
          <w:b w:val="false"/>
          <w:i w:val="false"/>
          <w:color w:val="000000"/>
          <w:sz w:val="28"/>
        </w:rPr>
        <w:t>
      1. Оценкой предложения внешнего управляющего служит сумма всех показателей, приведенных в таблице оценочных критериев (далее - Таблица) с соответствующими весами.</w:t>
      </w:r>
      <w:r>
        <w:br/>
      </w:r>
      <w:r>
        <w:rPr>
          <w:rFonts w:ascii="Times New Roman"/>
          <w:b w:val="false"/>
          <w:i w:val="false"/>
          <w:color w:val="000000"/>
          <w:sz w:val="28"/>
        </w:rPr>
        <w:t>
</w:t>
      </w:r>
      <w:r>
        <w:rPr>
          <w:rFonts w:ascii="Times New Roman"/>
          <w:b w:val="false"/>
          <w:i w:val="false"/>
          <w:color w:val="000000"/>
          <w:sz w:val="28"/>
        </w:rPr>
        <w:t>
      2. Перед тем, как тот или иной показатель будет внесен в Таблицу, показатель нормируется относительно лучшего показателя в рассматриваемом критерии с использованием формулы:</w:t>
      </w:r>
      <w:r>
        <w:br/>
      </w:r>
      <w:r>
        <w:rPr>
          <w:rFonts w:ascii="Times New Roman"/>
          <w:b w:val="false"/>
          <w:i w:val="false"/>
          <w:color w:val="000000"/>
          <w:sz w:val="28"/>
        </w:rPr>
        <w:t>
</w:t>
      </w:r>
      <w:r>
        <w:rPr>
          <w:rFonts w:ascii="Times New Roman"/>
          <w:b w:val="false"/>
          <w:i w:val="false"/>
          <w:color w:val="000000"/>
          <w:sz w:val="28"/>
        </w:rPr>
        <w:t>
      Нормированный показатель управляющего = Показатель управляющего/максимальное значение показателя по всем внешним управляющим.</w:t>
      </w:r>
      <w:r>
        <w:br/>
      </w:r>
      <w:r>
        <w:rPr>
          <w:rFonts w:ascii="Times New Roman"/>
          <w:b w:val="false"/>
          <w:i w:val="false"/>
          <w:color w:val="000000"/>
          <w:sz w:val="28"/>
        </w:rPr>
        <w:t>
</w:t>
      </w:r>
      <w:r>
        <w:rPr>
          <w:rFonts w:ascii="Times New Roman"/>
          <w:b w:val="false"/>
          <w:i w:val="false"/>
          <w:color w:val="000000"/>
          <w:sz w:val="28"/>
        </w:rPr>
        <w:t>
      3. Если внешний управляющий управляет активами по объявленному типу мандата в рамках другого мандата, то осуществляется оценка исторических результатов управления данными активами в рамках другого мандата.</w:t>
      </w:r>
      <w:r>
        <w:br/>
      </w:r>
      <w:r>
        <w:rPr>
          <w:rFonts w:ascii="Times New Roman"/>
          <w:b w:val="false"/>
          <w:i w:val="false"/>
          <w:color w:val="000000"/>
          <w:sz w:val="28"/>
        </w:rPr>
        <w:t>
</w:t>
      </w:r>
      <w:r>
        <w:rPr>
          <w:rFonts w:ascii="Times New Roman"/>
          <w:b w:val="false"/>
          <w:i w:val="false"/>
          <w:color w:val="000000"/>
          <w:sz w:val="28"/>
        </w:rPr>
        <w:t>
      4. При оценке кредитного рейтинга головной организации и/или внешнего управляющего используется следующая система показателей:</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2573"/>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Кредитный рейтинг</w:t>
            </w:r>
            <w:r>
              <w:br/>
            </w:r>
            <w:r>
              <w:rPr>
                <w:rFonts w:ascii="Times New Roman"/>
                <w:b w:val="false"/>
                <w:i w:val="false"/>
                <w:color w:val="000000"/>
                <w:sz w:val="20"/>
              </w:rPr>
              <w:t>
(S&amp;P)</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AAA</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ВВВ+</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ВВВ</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Ниже ВВВ</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6" w:id="46"/>
    <w:p>
      <w:pPr>
        <w:spacing w:after="0"/>
        <w:ind w:left="0"/>
        <w:jc w:val="both"/>
      </w:pPr>
      <w:r>
        <w:rPr>
          <w:rFonts w:ascii="Times New Roman"/>
          <w:b w:val="false"/>
          <w:i w:val="false"/>
          <w:color w:val="000000"/>
          <w:sz w:val="28"/>
        </w:rPr>
        <w:t>
      5. При оценке обучения специалистов Национального Банка используется следующая система показателей:</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2793"/>
      </w:tblGrid>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тренинга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Внешний управляющий</w:t>
            </w:r>
            <w:r>
              <w:br/>
            </w:r>
            <w:r>
              <w:rPr>
                <w:rFonts w:ascii="Times New Roman"/>
                <w:b w:val="false"/>
                <w:i w:val="false"/>
                <w:color w:val="000000"/>
                <w:sz w:val="20"/>
              </w:rPr>
              <w:t>
оплачивает перелет,</w:t>
            </w:r>
            <w:r>
              <w:br/>
            </w:r>
            <w:r>
              <w:rPr>
                <w:rFonts w:ascii="Times New Roman"/>
                <w:b w:val="false"/>
                <w:i w:val="false"/>
                <w:color w:val="000000"/>
                <w:sz w:val="20"/>
              </w:rPr>
              <w:t>
проживание, питание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Внешний управляющий</w:t>
            </w:r>
            <w:r>
              <w:br/>
            </w:r>
            <w:r>
              <w:rPr>
                <w:rFonts w:ascii="Times New Roman"/>
                <w:b w:val="false"/>
                <w:i w:val="false"/>
                <w:color w:val="000000"/>
                <w:sz w:val="20"/>
              </w:rPr>
              <w:t>
оплачивает проживание,</w:t>
            </w:r>
            <w:r>
              <w:br/>
            </w:r>
            <w:r>
              <w:rPr>
                <w:rFonts w:ascii="Times New Roman"/>
                <w:b w:val="false"/>
                <w:i w:val="false"/>
                <w:color w:val="000000"/>
                <w:sz w:val="20"/>
              </w:rPr>
              <w:t>
питание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Внешний управляющий</w:t>
            </w:r>
            <w:r>
              <w:br/>
            </w:r>
            <w:r>
              <w:rPr>
                <w:rFonts w:ascii="Times New Roman"/>
                <w:b w:val="false"/>
                <w:i w:val="false"/>
                <w:color w:val="000000"/>
                <w:sz w:val="20"/>
              </w:rPr>
              <w:t>
оплачивает проживание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bl>
    <w:bookmarkStart w:name="z52" w:id="4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выбора внешних</w:t>
      </w:r>
      <w:r>
        <w:br/>
      </w:r>
      <w:r>
        <w:rPr>
          <w:rFonts w:ascii="Times New Roman"/>
          <w:b w:val="false"/>
          <w:i w:val="false"/>
          <w:color w:val="000000"/>
          <w:sz w:val="28"/>
        </w:rPr>
        <w:t xml:space="preserve">
управляющих активами  </w:t>
      </w:r>
      <w:r>
        <w:br/>
      </w:r>
      <w:r>
        <w:rPr>
          <w:rFonts w:ascii="Times New Roman"/>
          <w:b w:val="false"/>
          <w:i w:val="false"/>
          <w:color w:val="000000"/>
          <w:sz w:val="28"/>
        </w:rPr>
        <w:t xml:space="preserve">
Национального фонда  </w:t>
      </w:r>
      <w:r>
        <w:br/>
      </w:r>
      <w:r>
        <w:rPr>
          <w:rFonts w:ascii="Times New Roman"/>
          <w:b w:val="false"/>
          <w:i w:val="false"/>
          <w:color w:val="000000"/>
          <w:sz w:val="28"/>
        </w:rPr>
        <w:t xml:space="preserve">
Республики Казахстан  </w:t>
      </w:r>
    </w:p>
    <w:bookmarkEnd w:id="47"/>
    <w:bookmarkStart w:name="z58" w:id="48"/>
    <w:p>
      <w:pPr>
        <w:spacing w:after="0"/>
        <w:ind w:left="0"/>
        <w:jc w:val="left"/>
      </w:pPr>
      <w:r>
        <w:rPr>
          <w:rFonts w:ascii="Times New Roman"/>
          <w:b/>
          <w:i w:val="false"/>
          <w:color w:val="000000"/>
        </w:rPr>
        <w:t xml:space="preserve"> 
Показатели</w:t>
      </w:r>
      <w:r>
        <w:br/>
      </w:r>
      <w:r>
        <w:rPr>
          <w:rFonts w:ascii="Times New Roman"/>
          <w:b/>
          <w:i w:val="false"/>
          <w:color w:val="000000"/>
        </w:rPr>
        <w:t>
оценки эффективности работы внешнего управляющего</w:t>
      </w:r>
    </w:p>
    <w:bookmarkEnd w:id="48"/>
    <w:p>
      <w:pPr>
        <w:spacing w:after="0"/>
        <w:ind w:left="0"/>
        <w:jc w:val="both"/>
      </w:pPr>
      <w:r>
        <w:rPr>
          <w:rFonts w:ascii="Times New Roman"/>
          <w:b w:val="false"/>
          <w:i w:val="false"/>
          <w:color w:val="ff0000"/>
          <w:sz w:val="28"/>
        </w:rPr>
        <w:t xml:space="preserve">      Сноска. Приложение 4 в редакции постановления Правления Национального Банка РК от 25.05.2012 </w:t>
      </w:r>
      <w:r>
        <w:rPr>
          <w:rFonts w:ascii="Times New Roman"/>
          <w:b w:val="false"/>
          <w:i w:val="false"/>
          <w:color w:val="ff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Основной целью является оценка и выставление баллов внешним управляющим согласно количественным и качественным показателям во избежание субъективности при оценке работы внешнего управляющего.</w:t>
      </w:r>
      <w:r>
        <w:br/>
      </w:r>
      <w:r>
        <w:rPr>
          <w:rFonts w:ascii="Times New Roman"/>
          <w:b w:val="false"/>
          <w:i w:val="false"/>
          <w:color w:val="000000"/>
          <w:sz w:val="28"/>
        </w:rPr>
        <w:t>
      Количественные показатели:</w:t>
      </w:r>
      <w:r>
        <w:br/>
      </w:r>
      <w:r>
        <w:rPr>
          <w:rFonts w:ascii="Times New Roman"/>
          <w:b w:val="false"/>
          <w:i w:val="false"/>
          <w:color w:val="000000"/>
          <w:sz w:val="28"/>
        </w:rPr>
        <w:t>
      Информационный коэффициент (Information ration)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5893"/>
      </w:tblGrid>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Информационный коэффициент</w:t>
            </w:r>
            <w:r>
              <w:br/>
            </w:r>
            <w:r>
              <w:rPr>
                <w:rFonts w:ascii="Times New Roman"/>
                <w:b w:val="false"/>
                <w:i w:val="false"/>
                <w:color w:val="000000"/>
                <w:sz w:val="20"/>
              </w:rPr>
              <w:t>
(Information ration)</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балла</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0,5 - 1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балла</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0 - 0,5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балла</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балла</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0,5 - 0</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балла</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 0,5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r>
    </w:tbl>
    <w:p>
      <w:pPr>
        <w:spacing w:after="0"/>
        <w:ind w:left="0"/>
        <w:jc w:val="both"/>
      </w:pPr>
      <w:r>
        <w:rPr>
          <w:rFonts w:ascii="Times New Roman"/>
          <w:b w:val="false"/>
          <w:i w:val="false"/>
          <w:color w:val="000000"/>
          <w:sz w:val="28"/>
        </w:rPr>
        <w:t>      Качественные показатели:</w:t>
      </w:r>
      <w:r>
        <w:br/>
      </w:r>
      <w:r>
        <w:rPr>
          <w:rFonts w:ascii="Times New Roman"/>
          <w:b w:val="false"/>
          <w:i w:val="false"/>
          <w:color w:val="000000"/>
          <w:sz w:val="28"/>
        </w:rPr>
        <w:t>
      1) Передвижения персонала (Staff turnover);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497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Проценты</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Передвижения персонала</w:t>
            </w:r>
            <w:r>
              <w:br/>
            </w:r>
            <w:r>
              <w:rPr>
                <w:rFonts w:ascii="Times New Roman"/>
                <w:b w:val="false"/>
                <w:i w:val="false"/>
                <w:color w:val="000000"/>
                <w:sz w:val="20"/>
              </w:rPr>
              <w:t>
(Staff turnover)</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30</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балла</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5 - 30</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балла</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0 - 5</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балла</w:t>
            </w:r>
          </w:p>
        </w:tc>
      </w:tr>
    </w:tbl>
    <w:p>
      <w:pPr>
        <w:spacing w:after="0"/>
        <w:ind w:left="0"/>
        <w:jc w:val="both"/>
      </w:pPr>
      <w:r>
        <w:rPr>
          <w:rFonts w:ascii="Times New Roman"/>
          <w:b w:val="false"/>
          <w:i w:val="false"/>
          <w:color w:val="000000"/>
          <w:sz w:val="28"/>
        </w:rPr>
        <w:t>      2) Операционный риск (Operational risk).</w:t>
      </w:r>
      <w:r>
        <w:br/>
      </w:r>
      <w:r>
        <w:rPr>
          <w:rFonts w:ascii="Times New Roman"/>
          <w:b w:val="false"/>
          <w:i w:val="false"/>
          <w:color w:val="000000"/>
          <w:sz w:val="28"/>
        </w:rPr>
        <w:t>
      За каждый факт нарушения инвестиционных ограничений вследствие операционной ошибки из оценки отнимается 0,2 балла;</w:t>
      </w:r>
      <w:r>
        <w:br/>
      </w:r>
      <w:r>
        <w:rPr>
          <w:rFonts w:ascii="Times New Roman"/>
          <w:b w:val="false"/>
          <w:i w:val="false"/>
          <w:color w:val="000000"/>
          <w:sz w:val="28"/>
        </w:rPr>
        <w:t>
      В случае систематического непредставления отчетности в указанные сроки из оценки отнимается 0,2 балла.</w:t>
      </w:r>
      <w:r>
        <w:br/>
      </w:r>
      <w:r>
        <w:rPr>
          <w:rFonts w:ascii="Times New Roman"/>
          <w:b w:val="false"/>
          <w:i w:val="false"/>
          <w:color w:val="000000"/>
          <w:sz w:val="28"/>
        </w:rPr>
        <w:t>
      3) Соблюдение деловой этики (compliance with a Code of Business Ethics).</w:t>
      </w:r>
      <w:r>
        <w:br/>
      </w:r>
      <w:r>
        <w:rPr>
          <w:rFonts w:ascii="Times New Roman"/>
          <w:b w:val="false"/>
          <w:i w:val="false"/>
          <w:color w:val="000000"/>
          <w:sz w:val="28"/>
        </w:rPr>
        <w:t>
      За каждый факт нарушения внешним управляющим деловой этики из оценки отнимается 0,5 балла;</w:t>
      </w:r>
      <w:r>
        <w:br/>
      </w:r>
      <w:r>
        <w:rPr>
          <w:rFonts w:ascii="Times New Roman"/>
          <w:b w:val="false"/>
          <w:i w:val="false"/>
          <w:color w:val="000000"/>
          <w:sz w:val="28"/>
        </w:rPr>
        <w:t>
      В случае систематического несвоевременного исполнения поручений клиента из оценки отнимается 0,5 балла.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