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80ed" w14:textId="df68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265 "Об установлении пруденциального норматива для организаций, осуществляющих деятельность по ведению системы реестров держателей ценных бумаг, утверждении Правил расчета пруденциального норматива для организаций, осуществляющих деятельность по ведению системы реестров держателей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мая 2006 года N 126. Зарегистрировано в Министерстве юстиции Республики Казахстан 29 июня 2006 года N 4271.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121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22.08.2008 N 121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подпунктами 11), 15) пункта 2 
</w:t>
      </w:r>
      <w:r>
        <w:rPr>
          <w:rFonts w:ascii="Times New Roman"/>
          <w:b w:val="false"/>
          <w:i w:val="false"/>
          <w:color w:val="000000"/>
          <w:sz w:val="28"/>
        </w:rPr>
        <w:t xml:space="preserve"> статьи 3 </w:t>
      </w:r>
      <w:r>
        <w:rPr>
          <w:rFonts w:ascii="Times New Roman"/>
          <w:b w:val="false"/>
          <w:i w:val="false"/>
          <w:color w:val="000000"/>
          <w:sz w:val="28"/>
        </w:rPr>
        <w:t>
,  
</w:t>
      </w:r>
      <w:r>
        <w:rPr>
          <w:rFonts w:ascii="Times New Roman"/>
          <w:b w:val="false"/>
          <w:i w:val="false"/>
          <w:color w:val="000000"/>
          <w:sz w:val="28"/>
        </w:rPr>
        <w:t xml:space="preserve"> статьей 49 </w:t>
      </w:r>
      <w:r>
        <w:rPr>
          <w:rFonts w:ascii="Times New Roman"/>
          <w:b w:val="false"/>
          <w:i w:val="false"/>
          <w:color w:val="000000"/>
          <w:sz w:val="28"/>
        </w:rPr>
        <w:t>
 Закона Республики Казахстан "О рынке ценных бумаг" и подпунктами 5), 6) пункта 1 
</w:t>
      </w:r>
      <w:r>
        <w:rPr>
          <w:rFonts w:ascii="Times New Roman"/>
          <w:b w:val="false"/>
          <w:i w:val="false"/>
          <w:color w:val="000000"/>
          <w:sz w:val="28"/>
        </w:rPr>
        <w:t xml:space="preserve"> статьи 9 </w:t>
      </w:r>
      <w:r>
        <w:rPr>
          <w:rFonts w:ascii="Times New Roman"/>
          <w:b w:val="false"/>
          <w:i w:val="false"/>
          <w:color w:val="000000"/>
          <w:sz w:val="28"/>
        </w:rPr>
        <w:t>
 Закона Республики Казахстан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25 сентября 2004 года N 265 "Об установлении пруденциального норматива для организаций, осуществляющих деятельность по ведению системы реестров держателей ценных бумаг, утверждении Правил расчета пруденциального норматива для организаций, осуществляющих деятельность по ведению системы реестров держателей ценных бумаг" (зарегистрированное в Реестре государственной регистрации нормативных правовых актов под N 3189), с изменениями и дополнениями, внесенными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августа 2005 года N 310 (зарегистрированным в Реестре государственной регистрации нормативных правовых актов под N 3868),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29 октября 2005 года N 389 (зарегистрированным в Реестре государственной регистрации нормативных правовых актов под N 3941) следующие дополнения и изменение:
</w:t>
      </w:r>
      <w:r>
        <w:br/>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расчета пруденциального норматива для организаций, осуществляющих деятельность по ведению системы реестров держателей ценных бумаг, утвержденных указанным постановлением:
</w:t>
      </w:r>
      <w:r>
        <w:br/>
      </w:r>
      <w:r>
        <w:rPr>
          <w:rFonts w:ascii="Times New Roman"/>
          <w:b w:val="false"/>
          <w:i w:val="false"/>
          <w:color w:val="000000"/>
          <w:sz w:val="28"/>
        </w:rPr>
        <w:t>
      в пункте 2:
</w:t>
      </w:r>
      <w:r>
        <w:br/>
      </w:r>
      <w:r>
        <w:rPr>
          <w:rFonts w:ascii="Times New Roman"/>
          <w:b w:val="false"/>
          <w:i w:val="false"/>
          <w:color w:val="000000"/>
          <w:sz w:val="28"/>
        </w:rPr>
        <w:t>
      в подпункте 1):
</w:t>
      </w:r>
      <w:r>
        <w:br/>
      </w:r>
      <w:r>
        <w:rPr>
          <w:rFonts w:ascii="Times New Roman"/>
          <w:b w:val="false"/>
          <w:i w:val="false"/>
          <w:color w:val="000000"/>
          <w:sz w:val="28"/>
        </w:rPr>
        <w:t>
      в абзаце третьем после слов "в банках второго уровня" дополнить словами "Республики Казахстан";
</w:t>
      </w:r>
      <w:r>
        <w:br/>
      </w:r>
      <w:r>
        <w:rPr>
          <w:rFonts w:ascii="Times New Roman"/>
          <w:b w:val="false"/>
          <w:i w:val="false"/>
          <w:color w:val="000000"/>
          <w:sz w:val="28"/>
        </w:rPr>
        <w:t>
      дополнить абзацем четвертым следующего содержания:
</w:t>
      </w:r>
      <w:r>
        <w:br/>
      </w:r>
      <w:r>
        <w:rPr>
          <w:rFonts w:ascii="Times New Roman"/>
          <w:b w:val="false"/>
          <w:i w:val="false"/>
          <w:color w:val="000000"/>
          <w:sz w:val="28"/>
        </w:rPr>
        <w:t>
      "деньги на счетах в банках-нерезидентах, которые имеют долгосрочный и/или краткосрочный, индивидуальный рейтинг не ниже категории "А" (по классификации рейтинговых агентств "Standard &amp; Poor
</w:t>
      </w:r>
      <w:r>
        <w:rPr>
          <w:rFonts w:ascii="Times New Roman"/>
          <w:b w:val="false"/>
          <w:i w:val="false"/>
          <w:color w:val="000000"/>
          <w:vertAlign w:val="superscript"/>
        </w:rPr>
        <w:t>
,
</w:t>
      </w:r>
      <w:r>
        <w:rPr>
          <w:rFonts w:ascii="Times New Roman"/>
          <w:b w:val="false"/>
          <w:i w:val="false"/>
          <w:color w:val="000000"/>
          <w:sz w:val="28"/>
        </w:rPr>
        <w:t>
s" и "Fitch") или "А2" (по классификации рейтингового агентства "Moody
</w:t>
      </w:r>
      <w:r>
        <w:rPr>
          <w:rFonts w:ascii="Times New Roman"/>
          <w:b w:val="false"/>
          <w:i w:val="false"/>
          <w:color w:val="000000"/>
          <w:vertAlign w:val="superscript"/>
        </w:rPr>
        <w:t>
,
</w:t>
      </w:r>
      <w:r>
        <w:rPr>
          <w:rFonts w:ascii="Times New Roman"/>
          <w:b w:val="false"/>
          <w:i w:val="false"/>
          <w:color w:val="000000"/>
          <w:sz w:val="28"/>
        </w:rPr>
        <w:t>
s Investors Service");";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вклады в банках-нерезидентах, которые имеют долгосрочный и/или краткосрочный, индивидуальный рейтинг не ниже категории "А" (по классификации рейтинговых агентств "Standard &amp; Poor
</w:t>
      </w:r>
      <w:r>
        <w:rPr>
          <w:rFonts w:ascii="Times New Roman"/>
          <w:b w:val="false"/>
          <w:i w:val="false"/>
          <w:color w:val="000000"/>
          <w:vertAlign w:val="superscript"/>
        </w:rPr>
        <w:t>
,
</w:t>
      </w:r>
      <w:r>
        <w:rPr>
          <w:rFonts w:ascii="Times New Roman"/>
          <w:b w:val="false"/>
          <w:i w:val="false"/>
          <w:color w:val="000000"/>
          <w:sz w:val="28"/>
        </w:rPr>
        <w:t>
s" и "Fitch") или "А2" (по классификации рейтингового агентства "Moody
</w:t>
      </w:r>
      <w:r>
        <w:rPr>
          <w:rFonts w:ascii="Times New Roman"/>
          <w:b w:val="false"/>
          <w:i w:val="false"/>
          <w:color w:val="000000"/>
          <w:vertAlign w:val="superscript"/>
        </w:rPr>
        <w:t>
,
</w:t>
      </w:r>
      <w:r>
        <w:rPr>
          <w:rFonts w:ascii="Times New Roman"/>
          <w:b w:val="false"/>
          <w:i w:val="false"/>
          <w:color w:val="000000"/>
          <w:sz w:val="28"/>
        </w:rPr>
        <w:t>
s Investors Service")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дополнить подпунктом 12-2) следующего содержания:
</w:t>
      </w:r>
      <w:r>
        <w:br/>
      </w:r>
      <w:r>
        <w:rPr>
          <w:rFonts w:ascii="Times New Roman"/>
          <w:b w:val="false"/>
          <w:i w:val="false"/>
          <w:color w:val="000000"/>
          <w:sz w:val="28"/>
        </w:rPr>
        <w:t>
      "12-2) акции организаторов торгов с ценными бумагами, центрального депозитария ценных бумаг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уменьшенные на пятьдесят процентов, за вычетом резервов на возможные потери;";
</w:t>
      </w:r>
      <w:r>
        <w:br/>
      </w:r>
      <w:r>
        <w:rPr>
          <w:rFonts w:ascii="Times New Roman"/>
          <w:b w:val="false"/>
          <w:i w:val="false"/>
          <w:color w:val="000000"/>
          <w:sz w:val="28"/>
        </w:rPr>
        <w:t>
      в приложении:
</w:t>
      </w:r>
      <w:r>
        <w:br/>
      </w:r>
      <w:r>
        <w:rPr>
          <w:rFonts w:ascii="Times New Roman"/>
          <w:b w:val="false"/>
          <w:i w:val="false"/>
          <w:color w:val="000000"/>
          <w:sz w:val="28"/>
        </w:rPr>
        <w:t>
      в таблице "Расчет пруденциального норматива по состоянию на "___" __________ 20__ года ______________________ (полное
</w:t>
      </w:r>
      <w:r>
        <w:br/>
      </w:r>
      <w:r>
        <w:rPr>
          <w:rFonts w:ascii="Times New Roman"/>
          <w:b w:val="false"/>
          <w:i w:val="false"/>
          <w:color w:val="000000"/>
          <w:sz w:val="28"/>
        </w:rPr>
        <w:t>
наименование регистратора)"
</w:t>
      </w:r>
      <w:r>
        <w:br/>
      </w:r>
      <w:r>
        <w:rPr>
          <w:rFonts w:ascii="Times New Roman"/>
          <w:b w:val="false"/>
          <w:i w:val="false"/>
          <w:color w:val="000000"/>
          <w:sz w:val="28"/>
        </w:rPr>
        <w:t>
      в строке 1 цифры "1.2" заменить цифрами "1.3";
</w:t>
      </w:r>
      <w:r>
        <w:br/>
      </w:r>
      <w:r>
        <w:rPr>
          <w:rFonts w:ascii="Times New Roman"/>
          <w:b w:val="false"/>
          <w:i w:val="false"/>
          <w:color w:val="000000"/>
          <w:sz w:val="28"/>
        </w:rPr>
        <w:t>
      дополнить строкой 1.3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473"/>
        <w:gridCol w:w="1853"/>
        <w:gridCol w:w="1493"/>
        <w:gridCol w:w="155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w:t>
            </w:r>
            <w:r>
              <w:br/>
            </w:r>
            <w:r>
              <w:rPr>
                <w:rFonts w:ascii="Times New Roman"/>
                <w:b w:val="false"/>
                <w:i w:val="false"/>
                <w:color w:val="000000"/>
                <w:sz w:val="20"/>
              </w:rPr>
              <w:t>
банках-нерезидентах,
</w:t>
            </w:r>
            <w:r>
              <w:br/>
            </w:r>
            <w:r>
              <w:rPr>
                <w:rFonts w:ascii="Times New Roman"/>
                <w:b w:val="false"/>
                <w:i w:val="false"/>
                <w:color w:val="000000"/>
                <w:sz w:val="20"/>
              </w:rPr>
              <w:t>
которые имеют долгосрочный
</w:t>
            </w:r>
            <w:r>
              <w:br/>
            </w:r>
            <w:r>
              <w:rPr>
                <w:rFonts w:ascii="Times New Roman"/>
                <w:b w:val="false"/>
                <w:i w:val="false"/>
                <w:color w:val="000000"/>
                <w:sz w:val="20"/>
              </w:rPr>
              <w:t>
и/или краткосрочный,
</w:t>
            </w:r>
            <w:r>
              <w:br/>
            </w:r>
            <w:r>
              <w:rPr>
                <w:rFonts w:ascii="Times New Roman"/>
                <w:b w:val="false"/>
                <w:i w:val="false"/>
                <w:color w:val="000000"/>
                <w:sz w:val="20"/>
              </w:rPr>
              <w:t>
индивидуальный рейтинг не ниже
</w:t>
            </w:r>
            <w:r>
              <w:br/>
            </w:r>
            <w:r>
              <w:rPr>
                <w:rFonts w:ascii="Times New Roman"/>
                <w:b w:val="false"/>
                <w:i w:val="false"/>
                <w:color w:val="000000"/>
                <w:sz w:val="20"/>
              </w:rPr>
              <w:t>
категории "А" (по классификации
</w:t>
            </w:r>
            <w:r>
              <w:br/>
            </w:r>
            <w:r>
              <w:rPr>
                <w:rFonts w:ascii="Times New Roman"/>
                <w:b w:val="false"/>
                <w:i w:val="false"/>
                <w:color w:val="000000"/>
                <w:sz w:val="20"/>
              </w:rPr>
              <w:t>
рейтинговых агентств "Standard
</w:t>
            </w:r>
            <w:r>
              <w:br/>
            </w:r>
            <w:r>
              <w:rPr>
                <w:rFonts w:ascii="Times New Roman"/>
                <w:b w:val="false"/>
                <w:i w:val="false"/>
                <w:color w:val="000000"/>
                <w:sz w:val="20"/>
              </w:rPr>
              <w:t>
&amp; Poor
</w:t>
            </w:r>
            <w:r>
              <w:rPr>
                <w:rFonts w:ascii="Times New Roman"/>
                <w:b w:val="false"/>
                <w:i w:val="false"/>
                <w:color w:val="000000"/>
                <w:vertAlign w:val="superscript"/>
              </w:rPr>
              <w:t>
,
</w:t>
            </w:r>
            <w:r>
              <w:rPr>
                <w:rFonts w:ascii="Times New Roman"/>
                <w:b w:val="false"/>
                <w:i w:val="false"/>
                <w:color w:val="000000"/>
                <w:sz w:val="20"/>
              </w:rPr>
              <w:t>
s" и "Fitch") или "А2"
</w:t>
            </w:r>
            <w:r>
              <w:br/>
            </w:r>
            <w:r>
              <w:rPr>
                <w:rFonts w:ascii="Times New Roman"/>
                <w:b w:val="false"/>
                <w:i w:val="false"/>
                <w:color w:val="000000"/>
                <w:sz w:val="20"/>
              </w:rPr>
              <w:t>
(по классификации рейтингового
</w:t>
            </w:r>
            <w:r>
              <w:br/>
            </w:r>
            <w:r>
              <w:rPr>
                <w:rFonts w:ascii="Times New Roman"/>
                <w:b w:val="false"/>
                <w:i w:val="false"/>
                <w:color w:val="000000"/>
                <w:sz w:val="20"/>
              </w:rPr>
              <w:t>
агентства "Moody
</w:t>
            </w:r>
            <w:r>
              <w:rPr>
                <w:rFonts w:ascii="Times New Roman"/>
                <w:b w:val="false"/>
                <w:i w:val="false"/>
                <w:color w:val="000000"/>
                <w:vertAlign w:val="superscript"/>
              </w:rPr>
              <w:t>
,
</w:t>
            </w:r>
            <w:r>
              <w:rPr>
                <w:rFonts w:ascii="Times New Roman"/>
                <w:b w:val="false"/>
                <w:i w:val="false"/>
                <w:color w:val="000000"/>
                <w:sz w:val="20"/>
              </w:rPr>
              <w:t>
s Investors
</w:t>
            </w:r>
            <w:r>
              <w:br/>
            </w:r>
            <w:r>
              <w:rPr>
                <w:rFonts w:ascii="Times New Roman"/>
                <w:b w:val="false"/>
                <w:i w:val="false"/>
                <w:color w:val="000000"/>
                <w:sz w:val="20"/>
              </w:rPr>
              <w:t>
Service")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дополнить строкой 2-1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353"/>
        <w:gridCol w:w="1813"/>
        <w:gridCol w:w="1533"/>
        <w:gridCol w:w="1513"/>
      </w:tblGrid>
      <w:tr>
        <w:trPr>
          <w:trHeight w:val="90" w:hRule="atLeast"/>
        </w:trPr>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банках-нерезидентах,
</w:t>
            </w:r>
            <w:r>
              <w:br/>
            </w:r>
            <w:r>
              <w:rPr>
                <w:rFonts w:ascii="Times New Roman"/>
                <w:b w:val="false"/>
                <w:i w:val="false"/>
                <w:color w:val="000000"/>
                <w:sz w:val="20"/>
              </w:rPr>
              <w:t>
которые имеют долгосрочный
</w:t>
            </w:r>
            <w:r>
              <w:br/>
            </w:r>
            <w:r>
              <w:rPr>
                <w:rFonts w:ascii="Times New Roman"/>
                <w:b w:val="false"/>
                <w:i w:val="false"/>
                <w:color w:val="000000"/>
                <w:sz w:val="20"/>
              </w:rPr>
              <w:t>
и/или краткосрочный,
</w:t>
            </w:r>
            <w:r>
              <w:br/>
            </w:r>
            <w:r>
              <w:rPr>
                <w:rFonts w:ascii="Times New Roman"/>
                <w:b w:val="false"/>
                <w:i w:val="false"/>
                <w:color w:val="000000"/>
                <w:sz w:val="20"/>
              </w:rPr>
              <w:t>
индивидуальный рейтинг не ниже
</w:t>
            </w:r>
            <w:r>
              <w:br/>
            </w:r>
            <w:r>
              <w:rPr>
                <w:rFonts w:ascii="Times New Roman"/>
                <w:b w:val="false"/>
                <w:i w:val="false"/>
                <w:color w:val="000000"/>
                <w:sz w:val="20"/>
              </w:rPr>
              <w:t>
категории "А"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Poor
</w:t>
            </w:r>
            <w:r>
              <w:rPr>
                <w:rFonts w:ascii="Times New Roman"/>
                <w:b w:val="false"/>
                <w:i w:val="false"/>
                <w:color w:val="000000"/>
                <w:vertAlign w:val="superscript"/>
              </w:rPr>
              <w:t>
,
</w:t>
            </w:r>
            <w:r>
              <w:rPr>
                <w:rFonts w:ascii="Times New Roman"/>
                <w:b w:val="false"/>
                <w:i w:val="false"/>
                <w:color w:val="000000"/>
                <w:sz w:val="20"/>
              </w:rPr>
              <w:t>
s"
</w:t>
            </w:r>
            <w:r>
              <w:br/>
            </w:r>
            <w:r>
              <w:rPr>
                <w:rFonts w:ascii="Times New Roman"/>
                <w:b w:val="false"/>
                <w:i w:val="false"/>
                <w:color w:val="000000"/>
                <w:sz w:val="20"/>
              </w:rPr>
              <w:t>
и "Fitch") или "А2" (по
</w:t>
            </w:r>
            <w:r>
              <w:br/>
            </w:r>
            <w:r>
              <w:rPr>
                <w:rFonts w:ascii="Times New Roman"/>
                <w:b w:val="false"/>
                <w:i w:val="false"/>
                <w:color w:val="000000"/>
                <w:sz w:val="20"/>
              </w:rPr>
              <w:t>
классификации рейтингового
</w:t>
            </w:r>
            <w:r>
              <w:br/>
            </w:r>
            <w:r>
              <w:rPr>
                <w:rFonts w:ascii="Times New Roman"/>
                <w:b w:val="false"/>
                <w:i w:val="false"/>
                <w:color w:val="000000"/>
                <w:sz w:val="20"/>
              </w:rPr>
              <w:t>
агентства "Moody
</w:t>
            </w:r>
            <w:r>
              <w:rPr>
                <w:rFonts w:ascii="Times New Roman"/>
                <w:b w:val="false"/>
                <w:i w:val="false"/>
                <w:color w:val="000000"/>
                <w:vertAlign w:val="superscript"/>
              </w:rPr>
              <w:t>
,
</w:t>
            </w:r>
            <w:r>
              <w:rPr>
                <w:rFonts w:ascii="Times New Roman"/>
                <w:b w:val="false"/>
                <w:i w:val="false"/>
                <w:color w:val="000000"/>
                <w:sz w:val="20"/>
              </w:rPr>
              <w:t>
s Investors
</w:t>
            </w:r>
            <w:r>
              <w:br/>
            </w:r>
            <w:r>
              <w:rPr>
                <w:rFonts w:ascii="Times New Roman"/>
                <w:b w:val="false"/>
                <w:i w:val="false"/>
                <w:color w:val="000000"/>
                <w:sz w:val="20"/>
              </w:rPr>
              <w:t>
Service") (с учетом сумм
</w:t>
            </w:r>
            <w:r>
              <w:br/>
            </w:r>
            <w:r>
              <w:rPr>
                <w:rFonts w:ascii="Times New Roman"/>
                <w:b w:val="false"/>
                <w:i w:val="false"/>
                <w:color w:val="000000"/>
                <w:sz w:val="20"/>
              </w:rPr>
              <w:t>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дополнить строкой 12-2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193"/>
        <w:gridCol w:w="1713"/>
        <w:gridCol w:w="1613"/>
        <w:gridCol w:w="1533"/>
      </w:tblGrid>
      <w:tr>
        <w:trPr>
          <w:trHeight w:val="9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6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организаторов торгов с
</w:t>
            </w:r>
            <w:r>
              <w:br/>
            </w:r>
            <w:r>
              <w:rPr>
                <w:rFonts w:ascii="Times New Roman"/>
                <w:b w:val="false"/>
                <w:i w:val="false"/>
                <w:color w:val="000000"/>
                <w:sz w:val="20"/>
              </w:rPr>
              <w:t>
ценными бумагами,
</w:t>
            </w:r>
            <w:r>
              <w:br/>
            </w:r>
            <w:r>
              <w:rPr>
                <w:rFonts w:ascii="Times New Roman"/>
                <w:b w:val="false"/>
                <w:i w:val="false"/>
                <w:color w:val="000000"/>
                <w:sz w:val="20"/>
              </w:rPr>
              <w:t>
центрального депозитария
</w:t>
            </w:r>
            <w:r>
              <w:br/>
            </w:r>
            <w:r>
              <w:rPr>
                <w:rFonts w:ascii="Times New Roman"/>
                <w:b w:val="false"/>
                <w:i w:val="false"/>
                <w:color w:val="000000"/>
                <w:sz w:val="20"/>
              </w:rPr>
              <w:t>
ценных бумаг и иных
</w:t>
            </w:r>
            <w:r>
              <w:br/>
            </w:r>
            <w:r>
              <w:rPr>
                <w:rFonts w:ascii="Times New Roman"/>
                <w:b w:val="false"/>
                <w:i w:val="false"/>
                <w:color w:val="000000"/>
                <w:sz w:val="20"/>
              </w:rPr>
              <w:t>
юридических лиц, являющихся
</w:t>
            </w:r>
            <w:r>
              <w:br/>
            </w:r>
            <w:r>
              <w:rPr>
                <w:rFonts w:ascii="Times New Roman"/>
                <w:b w:val="false"/>
                <w:i w:val="false"/>
                <w:color w:val="000000"/>
                <w:sz w:val="20"/>
              </w:rPr>
              <w:t>
частью инфраструктуры рынка
</w:t>
            </w:r>
            <w:r>
              <w:br/>
            </w:r>
            <w:r>
              <w:rPr>
                <w:rFonts w:ascii="Times New Roman"/>
                <w:b w:val="false"/>
                <w:i w:val="false"/>
                <w:color w:val="000000"/>
                <w:sz w:val="20"/>
              </w:rPr>
              <w:t>
ценных бумаг, акционерами
</w:t>
            </w:r>
            <w:r>
              <w:br/>
            </w:r>
            <w:r>
              <w:rPr>
                <w:rFonts w:ascii="Times New Roman"/>
                <w:b w:val="false"/>
                <w:i w:val="false"/>
                <w:color w:val="000000"/>
                <w:sz w:val="20"/>
              </w:rPr>
              <w:t>
которых являются
</w:t>
            </w:r>
            <w:r>
              <w:br/>
            </w:r>
            <w:r>
              <w:rPr>
                <w:rFonts w:ascii="Times New Roman"/>
                <w:b w:val="false"/>
                <w:i w:val="false"/>
                <w:color w:val="000000"/>
                <w:sz w:val="20"/>
              </w:rPr>
              <w:t>
профессиональные участники
</w:t>
            </w:r>
            <w:r>
              <w:br/>
            </w:r>
            <w:r>
              <w:rPr>
                <w:rFonts w:ascii="Times New Roman"/>
                <w:b w:val="false"/>
                <w:i w:val="false"/>
                <w:color w:val="000000"/>
                <w:sz w:val="20"/>
              </w:rPr>
              <w:t>
рынка ценных бумаг,
</w:t>
            </w:r>
            <w:r>
              <w:br/>
            </w:r>
            <w:r>
              <w:rPr>
                <w:rFonts w:ascii="Times New Roman"/>
                <w:b w:val="false"/>
                <w:i w:val="false"/>
                <w:color w:val="000000"/>
                <w:sz w:val="20"/>
              </w:rPr>
              <w:t>
уменьшенные на пятьдесят
</w:t>
            </w:r>
            <w:r>
              <w:br/>
            </w:r>
            <w:r>
              <w:rPr>
                <w:rFonts w:ascii="Times New Roman"/>
                <w:b w:val="false"/>
                <w:i w:val="false"/>
                <w:color w:val="000000"/>
                <w:sz w:val="20"/>
              </w:rPr>
              <w:t>
процентов, за вычетом
</w:t>
            </w:r>
            <w:r>
              <w:br/>
            </w:r>
            <w:r>
              <w:rPr>
                <w:rFonts w:ascii="Times New Roman"/>
                <w:b w:val="false"/>
                <w:i w:val="false"/>
                <w:color w:val="000000"/>
                <w:sz w:val="20"/>
              </w:rPr>
              <w:t>
резервов на возможные потери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таблицу "Дополнительные сведения для расчета пруденциального
</w:t>
      </w:r>
      <w:r>
        <w:br/>
      </w:r>
      <w:r>
        <w:rPr>
          <w:rFonts w:ascii="Times New Roman"/>
          <w:b w:val="false"/>
          <w:i w:val="false"/>
          <w:color w:val="000000"/>
          <w:sz w:val="28"/>
        </w:rPr>
        <w:t>
норматива по состоянию на "___" ________ 20__ года _____________
</w:t>
      </w:r>
      <w:r>
        <w:br/>
      </w:r>
      <w:r>
        <w:rPr>
          <w:rFonts w:ascii="Times New Roman"/>
          <w:b w:val="false"/>
          <w:i w:val="false"/>
          <w:color w:val="000000"/>
          <w:sz w:val="28"/>
        </w:rPr>
        <w:t>
(наименование регистратора)" дополнить строками 8016, 8017
</w:t>
      </w:r>
      <w:r>
        <w:br/>
      </w:r>
      <w:r>
        <w:rPr>
          <w:rFonts w:ascii="Times New Roman"/>
          <w:b w:val="false"/>
          <w:i w:val="false"/>
          <w:color w:val="000000"/>
          <w:sz w:val="28"/>
        </w:rPr>
        <w:t>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9173"/>
        <w:gridCol w:w="1953"/>
      </w:tblGrid>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второго уровня
</w:t>
            </w:r>
            <w:r>
              <w:br/>
            </w:r>
            <w:r>
              <w:rPr>
                <w:rFonts w:ascii="Times New Roman"/>
                <w:b w:val="false"/>
                <w:i w:val="false"/>
                <w:color w:val="000000"/>
                <w:sz w:val="20"/>
              </w:rPr>
              <w:t>
Республики Казахстан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9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банках-нерезидентах,
</w:t>
            </w:r>
            <w:r>
              <w:br/>
            </w:r>
            <w:r>
              <w:rPr>
                <w:rFonts w:ascii="Times New Roman"/>
                <w:b w:val="false"/>
                <w:i w:val="false"/>
                <w:color w:val="000000"/>
                <w:sz w:val="20"/>
              </w:rPr>
              <w:t>
которые имеют долгосрочный и/или
</w:t>
            </w:r>
            <w:r>
              <w:br/>
            </w:r>
            <w:r>
              <w:rPr>
                <w:rFonts w:ascii="Times New Roman"/>
                <w:b w:val="false"/>
                <w:i w:val="false"/>
                <w:color w:val="000000"/>
                <w:sz w:val="20"/>
              </w:rPr>
              <w:t>
краткосрочный, индивидуальный рейтинг не
</w:t>
            </w:r>
            <w:r>
              <w:br/>
            </w:r>
            <w:r>
              <w:rPr>
                <w:rFonts w:ascii="Times New Roman"/>
                <w:b w:val="false"/>
                <w:i w:val="false"/>
                <w:color w:val="000000"/>
                <w:sz w:val="20"/>
              </w:rPr>
              <w:t>
ниже категории "А" (по классификации рейтинговых агентств "Standard &amp; Poor
</w:t>
            </w:r>
            <w:r>
              <w:rPr>
                <w:rFonts w:ascii="Times New Roman"/>
                <w:b w:val="false"/>
                <w:i w:val="false"/>
                <w:color w:val="000000"/>
                <w:vertAlign w:val="superscript"/>
              </w:rPr>
              <w:t>
,
</w:t>
            </w:r>
            <w:r>
              <w:rPr>
                <w:rFonts w:ascii="Times New Roman"/>
                <w:b w:val="false"/>
                <w:i w:val="false"/>
                <w:color w:val="000000"/>
                <w:sz w:val="20"/>
              </w:rPr>
              <w:t>
s"
</w:t>
            </w:r>
            <w:r>
              <w:br/>
            </w:r>
            <w:r>
              <w:rPr>
                <w:rFonts w:ascii="Times New Roman"/>
                <w:b w:val="false"/>
                <w:i w:val="false"/>
                <w:color w:val="000000"/>
                <w:sz w:val="20"/>
              </w:rPr>
              <w:t>
и "Fitch") или "А2" (по классификации
</w:t>
            </w:r>
            <w:r>
              <w:br/>
            </w:r>
            <w:r>
              <w:rPr>
                <w:rFonts w:ascii="Times New Roman"/>
                <w:b w:val="false"/>
                <w:i w:val="false"/>
                <w:color w:val="000000"/>
                <w:sz w:val="20"/>
              </w:rPr>
              <w:t>
рейтингового агентства "Moody
</w:t>
            </w:r>
            <w:r>
              <w:rPr>
                <w:rFonts w:ascii="Times New Roman"/>
                <w:b w:val="false"/>
                <w:i w:val="false"/>
                <w:color w:val="000000"/>
                <w:vertAlign w:val="superscript"/>
              </w:rPr>
              <w:t>
,
</w:t>
            </w:r>
            <w:r>
              <w:rPr>
                <w:rFonts w:ascii="Times New Roman"/>
                <w:b w:val="false"/>
                <w:i w:val="false"/>
                <w:color w:val="000000"/>
                <w:sz w:val="20"/>
              </w:rPr>
              <w:t>
s Investors
</w:t>
            </w:r>
            <w:r>
              <w:br/>
            </w:r>
            <w:r>
              <w:rPr>
                <w:rFonts w:ascii="Times New Roman"/>
                <w:b w:val="false"/>
                <w:i w:val="false"/>
                <w:color w:val="000000"/>
                <w:sz w:val="20"/>
              </w:rPr>
              <w:t>
Service")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2)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и Объединения юридических лиц "Ассоциация управляющих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Отделу международных отношений и связей с общественностью (Пернебаев Т.Ш.)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