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2a0b" w14:textId="31d2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стоимостных балансов подгрупп по состоянию на 1 января 2006 года, определенных в соответствии с налоговым законодательством Республики Казахстан, действовавшим до 1 января 2006 года, с учетом фиксированных активов, по которым в 2005 году была
применена двойная норма амортизации, по группам, определенным пунктом 1 статьи 110 Кодекса Республики Казахстан "О налогах и других обязательных платежах в бюджет" (Налоговый кодекс)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
Казахстан от 3 февраля 2006 года N 46. Зарегистрирован в Министерстве 
юстиции Республики Казахстан 13 февраля 2006 года N 4089. Утратил силу приказом Министра финансов Республики Казахстан от 9 января 2009 года № 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№ 5.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108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Кодекса Республики Казахстан от 12 июня 2001 года "О налогах и других обязательных платежах в бюджет" (Налоговый кодекс)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Правила распределения стоимостных балансов подгрупп по состоянию на 1 января 2006 года, определенных в соответствии с налоговым законодательством Республики Казахстан, действовавшим до 1 января 2006 года, с учетом фиксированных активов, по которым в 2005 году была применена двойная норма амортизации, по группам, определенным пунктом 1 статьи 110 Кодекса Республики Казахстан "О налогах и других обязательных платежах в бюджет" (Налоговый кодекс).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методологии Налогового комитета Министерства финансов Республики Казахстан (Есмаганбетова Ж.С.)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Налогового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Министерства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2006 года N 46        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распределения стоимостных балансов подгрупп по состоянию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на 1 января 2006 года, определенных в соответствии с налоговым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законодательством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действовавшим до 1 января 2006 года, с учетом фиксированных активов,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которым в 2005 году была применена двойная норма амортизации,по </w:t>
      </w:r>
      <w:r>
        <w:br/>
      </w:r>
      <w:r>
        <w:rPr>
          <w:rFonts w:ascii="Times New Roman"/>
          <w:b/>
          <w:i w:val="false"/>
          <w:color w:val="000000"/>
        </w:rPr>
        <w:t xml:space="preserve">
группам, определенным пунктом 1 статьи 110 Кодекса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"О налогах и других обязательных платежах в бюджет"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(Налоговый кодекс)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  Настоящие Правила определяют порядок распределения стоимостных балансов подгрупп, определенных в соответствии с налоговым законодательством, действовавшим до 1 января 2006 года, с учетом фиксированных активов, по которым в 2005 году была применена двойная норма амортизации, по группам, определенным пунктом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110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Налогового кодекса, и распространяются на плательщиков корпоративного подоходного налога, за исключением страховых (перестраховочных) организаций, плательщиков, соответствующих условиям пункта 1 и 2 статьи 121 Налогового кодекса, а также плательщиков, соответствующих условиям пункта 1 статьи 120 Налогового кодекса, не имеющим доходов, подлежащих обложению в общеустановленном порядке.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Стоимостные балансы подгрупп по состоянию на 1 января 2006 года, определенные в соответствии с налоговым законодательством, действовавшим до 1 января 2006 года, а также фиксированные активы, по которым в 2005 году была применена двойная норма амортизации, распределяются по группам, установленным статьей 110 Налогового кодекса, в соответствии с Государственным классификатором Республики Казахстан "Классификатор основных фондов", утвержденным приказом Председателя Комитета по техническому регулированию и метрологии Министерства индустрии и торговли Республики Казахстан от 24 мая 2005 года N 150 "Об утверждении Государственного классификатора "Классификатор основных фондов" (далее - Классификатор основных фондов), в следующем порядке: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2830"/>
        <w:gridCol w:w="3709"/>
        <w:gridCol w:w="4124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групп в соответ- ствии с пунктом 1 статьи 110 Налого- вого кодекса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вание фиксиро- ванных активов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Группировка основных средств и нематери-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активов на уровне подразделов Классифи-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катора основных фондов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№групп (подгрупп) по состоянию на 1 января 2006 года, определенные в соответ- ствии с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тельством, действо- вавшим до 1 января 2006 года 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Здания, сооружения (за исклю- чением нефтяных, газовых скважин и передаточ- ных устройств)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120.000000,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130.000000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исклю- чением групп 131.000000,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132.411000,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132.412000)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(1)) 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оборудова- ние, за исключением машин и оборудова- ния нефте- газодобычи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140.000000 (за исклю- чением класса 142.300200 и машин и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нефтегазо- добыче)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IV, V (за исключе- нием V (4)), VI, VII (за исключением VII(5)), IX(5), IX(6) 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Канцеляр- ские машины и компьютеры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142.300200 подраздела 140.000000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VIII 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Фиксирован- ные активы, невключен- ные в дру- гие группы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Фиксирован ные активы, не включен- ные в груп- пы I, II, III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II(1), III, V(4), VII(5),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IX (за 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IX(1),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IX(5), IX(6))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