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d299" w14:textId="a79d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банками второго уровня ставок вознаграждения при распространении информации о величинах вознаграждения по финансовым услугам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9 января 2006 года N 2. Зарегистрировано в Министерстве юстиции Республики Казахстан 3 февраля 2006 года N 4078. Примечание РЦПИ: постановление утрачивает силу постановлением Правления Агентства РК по регулированию и надзору финансового рынка и финансовых организаций от 23 сентября 2006 года N 215 (порядок введения в действие см. п.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постановление утрачивает силу постановлением Правления Агентства РК по регулированию и надзору финансового рынка и финансовых организаций от 23 сентября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банках и банковской деятельности в Республике Казахстан"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исчисления банками второго уровня ставок вознаграждения при распространении информации о величинах вознаграждения по финансовым услугам.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1 апреля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защиты прав потребителей финансовых услуг (Усенбекова Л.Е.):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 и Объединения юридических лиц "Ассоциация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Утверждены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Правления Агентства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регулированию и надзору финансового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рынка и финансовых организаций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января 2006 года N 2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исчисления банками второго уровня ставок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вознаграждения при распространении информации о величинах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вознаграждения по финансовым услугам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банках и банковской деятельности в Республике Казахстан" (далее - Закон о банках) и устанавливают порядок исчисления банками второго уровня (далее - банки) ставок вознаграждения в достоверном, годовом, эффективном, сопоставимом исчислении при распространении информации о величинах вознаграждения по финансовым услугам.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настоящих Правил не распространяются на межбанковские займы и/или межбанковские депозиты.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базовая номинальная ставка вознаграждения - годовая ставка вознаграждения, исходя из которой определяется величина годовой эффективной ставки вознаграждения;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годовая эффективная ставка вознаграждения - ставка вознаграждения в достоверном, годовом, эффективном, сопоставимом исчислении по предоставляемым займам и/или привлекаемым депозитам, рассчитываемая в соответствии с методикой, установленной настоящими Правилами;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депозит клиента, связанный с займом - депозит, который является обеспечением предоставляемого займа, либо наличие которого является обязательным по условиям договора займа;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простая годовая ставка вознаграждения - ставка вознаграждения, которая применяется к начальной сумме депозита на протяжении всего срока привлечения депозита;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финансовые услуги - предлагаемые банком услуги по предоставлению займов и/или привлечению депозитов.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Расчет годовой эффективной ставки вознаграждения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распространении информации о величинах вознаграждения по финансовым услугам, в том числе ее публикации, банки дополнительно указывают годовую эффективную ставку вознаграждения, порядок исчисления которой устанавливается настоящими Правилами. В случае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 значения годовой эффективной ставки вознаграждения в течение срока действия финансовой услуги при распространении информации, в том числе публикации, банки указывают: по предоставляемым займам - максимальное значение годовой эффективной ставки вознаграждения, по привлекаемым депозитам - минимальное значение годовой эффективной ставки вознаграждения.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Годовая эффективная ставка вознаграждения рассчитывается банками по каждой предлагаемой финансовой услуге.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Годовая эффективная ставка вознаграждения по предоставляемым займам рассчитывается на каждую дату оплаты вознаграждения или изменения ставки вознаграждения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базовая номинальная ставка вознаграждения -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j =[((s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f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+ k)*(365/p) + L*(y-z))/(d-L)]*100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 - базовая номинальная ставка вознаграждения в периоде начисления вознаграждения (в процентах);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f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фактическая сумма начисляемого вознаграждения за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k - сумма всех выплат клиента, включая разовые, за получение финансовой услуги и всех связанных с ней услуг банка за период начисления вознаграждения, за исключением сумм вознаграждения;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 - количество календарных дней в периоде начисления вознаграждения;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 - сумма депозитов клиента, связанных с данным займом;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 - средневзвешенная базовая номинальная ставка вознаграждения по аналогичным (по срокам и валюте) депозитам данной финансовой организации, не связанным с займами;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z - средневзвешенная базовая номинальная ставка вознаграждения по депозитам, связанным с данным займом;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 - часть суммы основного долга, на которую начисляется вознаграждение.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годовая эффективная ставка вознаграждения -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 = ([l+j/m]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m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-l)*100,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 - годовая эффективная ставка вознаграждения в периоде начисления вознаграждения (в процентах);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 - базовая номинальная ставка вознаграждения в периоде начисления вознаграждения (в процентах);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 - количество периодов данной продолжительности в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Годовая эффективная ставка вознаграждения по привлекаемым депозитам рассчитывается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базовая номинальная ставка вознаграждения -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j = m*((l+n*i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1/(m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n)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-l)*100,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 - базовая номинальная ставка вознаграждения (в процентах);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 - количество начислений вознаграждения в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- срок привлекаемого депозита (в годах);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простая годовая ставка вознаграждения (в процентах);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годовая эффективная ставка вознаграждения -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i = ([l+j/m]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m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-l)*100,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 - годовая эффективная ставка вознаграждения (в процентах);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 - базовая номинальная ставка вознаграждения (в процентах);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 - количество начислений вознаграждения в году.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несоблюдения указанного требования уполномоченный орган может применить к банку санкции, предусмотренные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47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Вопросы, неурегулированные настоящими Правилами, подлежат разрешению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