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9f0b" w14:textId="cc89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и порядке приобретения базовых активов производных ценных бумаг, с которыми банки второго уровня могут осуществлять брокерскую и/или дилерскую деятельность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Республики Казахстан
от 9 января 2006 года N 19. Зарегистрировано в Министерстве юстиции
Республики Казахстан 31 января 2006 года N 4066. Утратило силу - постановлением Правления Агентства РК по регулированию и надзору финансового рынка и финансовых организаций РК от 16 июля 2007 года N 210.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РК по регулированию и надзору финансового рынка и финансовых организаций РК от 9 января 2006 года N 19 утратило силу постановлением Правления Агентства РК по регулированию и надзору финансового рынка и финансовых организаций РК от 16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его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банках и банковской деятельности в Республике Казахстан"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банки второго уровня могут осуществлять брокерскую и/или дилерскую деятельность 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беспоставочными (содержащими безусловное обязательство сторон произвести исключительно денежные расчеты по обязательствам) производными ценными бумагами, базовым активом которых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иностранная валюта;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аффинированные драгоценные металлы;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производными ценными бумагами, базовым активом которых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ценные бумаги, разрешенные к приобретению банками второго уровня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банках и банковской деятельности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расчетные показатели (индексы), перечень которых определен Приложением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кредитного риска (credit default swаp).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Производные ценные бумаги, базовые активы которых определены пунктом 1 настоящего постановления, приобретаются на организованном и неорганизованном рынках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Производные ценные бумаги, приобретаемые банками второго уровня, базовым активом которых является показатель кредитного риска (credit default swаp), отвечают следующим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долгосрочная рейтинговая оценка не ниже "А-" (по классификации рейтингового агентства "Standard &amp; Poor's") или "А3" (по классификации рейтингового агентства "Moody's Investors Service");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краткосрочная рейтинговая оценка не ниже "А1" (по классификации рейтингового агентства "Standard &amp; Poor's") или "Р1" (по классификации рейтингового агентства "Moody's Investors Service").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банков второго уровня,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Правления Агентства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организаций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2006 года N 19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расчетных показателей (индексов)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MICEX (Moscow Interbank Currency Exchange Index)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DAX (Deutscher Aktienindex)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CAC 40 (Compagnie des Agents de Change 40 Index)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NIKKEI - 225 (NIKKEI - 225 Index)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TOPIX (Tokyo Price Index)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HSI (Hang Seng Index)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ENXT 100 (Euronext 100)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RTSI (Russian Trade System Index)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DJIA (Dow Jones Industrial Average)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S&amp;P 500 (Standard and Poor's 500 Index)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FT-SE 100 (Financial Times Stock Exchange 100 Index)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KASE-Shares (Kazakhstan Stock Exchange-Shares)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MSCI World Index (Morgan Stanley Capital International World Index)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