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779a" w14:textId="7da7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областной программе«"Питьевая вода" на 2005-2007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мая 2005 года N 48/12. Зарегистрировано Департаментом юстиции Павлодарской области 14 июня 2005 года за N 3031.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Республики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областную программу "Питьевая вода" на 2005-2007 годы (далее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ежегодно обеспечивать своевременное финансирование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природных ресурсов и регулирования природопользования области ежегодно до 20 января представлять информацию по реализации Программы в постоянную комиссию областного маслихата по экологии 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Акимам городов и районов обеспечивать качественную приемку и эксплуатацию объектов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реализацией Программы возложить на постоянную комиссию областного маслихата по экологии 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III созыва XII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48/12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областной программе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"Питьевая вода" на 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"Питьевая вода"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87"/>
        <w:gridCol w:w="9093"/>
      </w:tblGrid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программа "Питьевая вода" на 2005-2007 годы
</w:t>
            </w:r>
          </w:p>
        </w:tc>
      </w:tr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разработки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развития  Казахстана до 2030 года; Указы  Президента Республики Казахстан от 16 ноября 1998 года N 4153 "О Государственной программе "Здоровье народа" и от 18 мая 1998 года N 3956 "О первоочередных мерах по улучшению состояния здоровья граждан Республики Казахстан", постановление Правительства Республики Казахстан от 23 января 2002 года N 93  "Об отраслевой программе "Питьевые воды" на 2002 - 2010 годы"
</w:t>
            </w:r>
          </w:p>
        </w:tc>
      </w:tr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Основной разработчик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
</w:t>
            </w:r>
          </w:p>
        </w:tc>
      </w:tr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области  питьевой водой, соответствующей санитарным правилам и нормам
</w:t>
            </w:r>
          </w:p>
        </w:tc>
      </w:tr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реализация комплекса мероприятий по обеспечению населения области питьевой водой, соответствующей санитарным правилам и нормам
</w:t>
            </w:r>
          </w:p>
        </w:tc>
      </w:tr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2005 - 2007 годы
</w:t>
            </w:r>
          </w:p>
        </w:tc>
      </w:tr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республиканского, областного бюджетов, бюджетов городов и районов 
</w:t>
            </w:r>
          </w:p>
        </w:tc>
      </w:tr>
      <w:tr>
        <w:trPr>
          <w:trHeight w:val="450" w:hRule="atLeast"/>
        </w:trPr>
        <w:tc>
          <w:tcPr>
            <w:tcW w:w="3987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населению области качественной питьевой воды, соответствующей санитарным правилам и нормам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 развития Казахстана до 2030 года одним из основных приоритетов определено здоровье граждан, где в частности, говорится, что предотвращению заболеваний способствуют использование чистой воды и здоровой пищи, а также внедрение очистительных систем современной технологии, сокращение объектов, загрязняющих окружающую среду и наносящих экологический вред.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результате анализа установлено, что сложилась тенденция снижения водообеспечения населения области, особенно сельского, как по количеству, так и по качеству потребления воды. Основной причиной ухудшения водоснабжения является недостаток средств на ремонтно-восстановительные работы водопроводов, подземных скважин с механическим подъемом воды. Реализация Программы даст возможность предоставить жителям населенных пунктов области качественную питьевую воду и предотвратить возможность распространения инфекционных заболеваний.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качественной питьевой водой населения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Источники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Наиболее крупными водными артериями являются река Иртыш и канал "Иртыш-Караганда" имени К.И.Сатпаева, водные ресурсы которых широко используются для водоснабжения населения, промышленных и сельскохозяйственных предприятий. Из 130 малых рек и временных водотоков области наибольшее значение имеют Шидерты, Оленты, Селеты, Ащису, Тундык, Карасу, которые характеризуются кратковременным весенним стоком со среднегодовым расходом 0,1-0,5 куб. м/сек. К осени малые реки, как правило, пересыхают и представляют собой цепочки плесов с солонцовой и соленой водой. Из 1210 озер области лишь 8 % имеют пресную воду. Эти временные водотоки, как и озера, не могут служить источниками надежного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Водные ресурсы на территории области распределены неравномерно. Поверхностный сток представлен в основном рекой Иртыш (28,9 куб.км/год), а основная доля прогнозных ресурсов подземных вод приурочена к напорным водоносным горизонтам меловых и палеогеновых отложений Иртышского артезианского бассейна. Пресные подземные воды в основном распространены на площади правобережья области, в Лебяжинском, Павлодарском, Щербактинском, Успенском, Качирском районах. Наиболее бедными на пресные подземные воды являются центральная и южная части левобережья области: Актогайский, Экибастузский, Баянаульский, Майский районы.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состоянию на 1 января 2001 года в Павлодарской области разведаны и утверждены Государственной комиссией по запасам подземных ископаемых и Территориальной комиссией по запасам полезных ископаемых при геологических управлениях Казахстана эксплуатационные запасы в количестве 1,4 куб.км./год пресных подземных вод для хозяйственно-питьевого водоснабжения городов, населенных пунктов, а также орошения земельных массивов. Всего разведано 11 месторождений таких вод. Из объемов прогнозных ресурсов подземных вод эксплуатационные запасы разведаны и утверждены: по республике - около 47%, по Павлодарской области - 30,9%. Из всех запасов подземных вод, разведанных и утвержденных на территории Казахстана, на долю Павлодарской области приходится 8,8%. Разведка месторождений пресных вод в основном производилась с 1953 по 1992 годы. В пробуренных эксплуатационных скважинах произошло повышение минерализации, а эксплуатационные запасы части месторождений исчерпаны. Поэтому необходимо произвести переоценку эксплуатационных запасов ранее разведанных месторождений с учетом изменений гидрогеологических, экологических и социально-экономических условий. Особенно это касается левобережной части области со сложными гидрогеологическими условиями. В южной части Иртышского, а также в Актогайском, Экибастузском, Баянаульском, Майском и Аксуском районах требуется проведение разведочных работ с целью поиска участков с доброкачественной водой. На значительной территории этих районов весь геологический разрез содержит соленые воды, не пригодные для питьевых целей. Минерализация подземных вод здесь достигает 10 г/л и выше.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2004 году начаты поисково-разведочные работы по выявлению месторождений подземных вод с целью водоснабжения сел Валиханово, Башмачное, Церковное Железинского района, Харьковка Актогайского района, Койтас, Караащи Баянаульского района, Кудайколь сельской зоны г. Экибастуза. Выполнены буровые работы, геофизические исследования. Освоено 27,0 млн. тенге. В 2005 году планируется выполнение опытных работ, режимных наблюдений, составление и защита отчета.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целей водоснабжения сельских населенных пунктов, в первую очередь, осваиваются ресурсы неглубоко залегающих (до 100-150 м) водоносных горизонтов. Уточнение прогнозных эксплуатационных ресурсов пресных подземных вод выполняется по водоносным горизонтам четвертичных, неогеновых и палеогеновых отложений.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питьевой водой населенных пунктов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настоящее время в области насчитывается 509 сельских населенных пунктов, где проживает 317 тыс. человек. В 97 из них функционируют водопроводы, в 392 - децентрализованные источники питьевой воды, 20 населенных пунктов обеспечиваются привозной водой из различных источников. Из них в 134 пунктах используется вода, не соответствующая санитарным нормам.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устойчивого обеспечения населения области питьевой водой в необходимом количестве и гарантированного качества, в соответствии с Указами Президента Республики Казахстан от 16 ноября 1998 года N 4153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</w:t>
      </w:r>
      <w:r>
        <w:rPr>
          <w:rFonts w:ascii="Times New Roman"/>
          <w:b w:val="false"/>
          <w:i w:val="false"/>
          <w:color w:val="000000"/>
          <w:sz w:val="28"/>
        </w:rPr>
        <w:t>
 "Здоровье народа" и от 18 мая 1998 года N 3956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первоочередных мерах по </w:t>
      </w:r>
      <w:r>
        <w:rPr>
          <w:rFonts w:ascii="Times New Roman"/>
          <w:b w:val="false"/>
          <w:i w:val="false"/>
          <w:color w:val="000000"/>
          <w:sz w:val="28"/>
        </w:rPr>
        <w:t>
 улучшению состояния здоровья граждан Республики Казахстан" решением Павлодарского областного маслихата (IX сессия, II созыв) от 19 января 2001 года утверждена областная программа "Питьевая вода" на 2001-2003 годы, в которой предусмотрено улучшение водоснабжения 215 населенных пунктов области, выделение на эти цели из местных бюджетов 584 млн. тенге. Администратором данной программы был определен департамент водного хозяйства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Специализированной проектной организацией ОАО "Концерн "Ай-Су" разработано ТЭО, которое после экологической экспертизы было утверждено. Этой же организацией выполнены рабочие проекты строительства объектов водоснабжения. На основании технико-экономического сравнения вариантов водоснабжения были предложены следующие варианты: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локальных водоисточников в населенных пунктах с высокой минерализацией подземных вод с использованием оборудования опреснения и очистки воды по мембранной технологии, разработанной ТОО "Мембранные технологии, 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восстановление, реконструкция водопроводов городов и населенных пунктов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восстановление Беловодского и Майского групповых водопроводов.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Особое внимание уделяется поддержке в надлежащем техническом состоянии действующих систем водоснабжения. Предусматривается выделение средств городских и районных бюджетов на их техническое содержание и обслуживание.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Цель Программы - обеспечение населения области питьевой водой в необходимом количестве и гарантированного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Основными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выработка и реализация комплекса мероприятий по обеспечению населения области питьевой водой, соответствующей санитарным правилам и нормам;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расширение и восстановление действующих водозаборов, водопроводных сетей с водоразборными устройствами;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очистительных систем на основе современной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природоохранных мероприятий по обеспечению надлежащего состояния источников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надлежащей эксплуатации водохозяйственных систем технического обслуживания и содержания, закрепление указанных систем за юридическими лицами, имеющими квалифицированные кадры по их обслуживанию и содержанию.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Основными направлениями в решении проблем водообеспечения населения области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восстановление и усовершенствование существующих систем водоснабжения в целях поддержания их эксплуатационного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улучшение качества потребляемой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Программой предусматривается реализация следующих мероприятий, позволяющих с меньшими затратами обеспечить население области питьевой водой: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проведение поисково-разведочных работ, бурения скважин с последующим строительством сооружений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мер по ремонту, реконструкции и поддержанию в надлежащем состоянии водозаборных, водопроводных сетей и сооружений, использование в населенных пунктах области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экономически эффективных пунктов водоподготовки (КБМ) в населенных пунктах с высокой минерализацией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проектно-сметной документацией, экспертизы проекта, технического и авторского надзора, контроль за выполнением мероприятий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закуп на тендерной основе изготовления, поставки и установки КБМ, объемов подрядных работ на бурение, обустройство скважин, реконструкцию систем водоснабжения, строительство водохозяйственного объекта со сдачей "под ключ".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финансирования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Согласно расчету, общая стоимость Программы в рыночных ценах за счет средств республиканского и областного бюджетов в 2005-2007 годах составляет 5496,09 млн. тенге, из них из областного бюджета - 534,42 млн. тенге, из республиканского бюджета - 4961,67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населенных пунктов, объемы финансирования по объектам уточняются ежегодно по сметной стоимости и выделению средств. Все построенные объекты за счет республиканского бюджета передаются в коммунальную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Эксплуатация введенных объектов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реализации Программы подрядная организация после сдачи объекта осуществляет его технологическое обслуживание в течение гарантийного срока службы оборудования, а также послегарантийное обслуживание по договору с акимами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Эксплуатация объектов водоснабжения осуществляется лицом (юридическим или физическим), умеющим организовать работу с соблюдением полной технологии обработки воды, имеющим допуск для работы в сфере общественного питания (санитарную книжку), прошедшим курсы санитарной гигиены и технического минимума эксплуатации оборудования по обработке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Важным аспектом информационного обеспечения и социальной пропаганды Программы является социально-политическая реклама. В целях достижения широкой информированности населения области, контролирующих и исполнительных органов предусматривается целый комплекс мероприятий: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публикаций хода реализации Программы в областных и районных газетах;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подготовка специальных телерепортажей;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организация тематических передач на областном радио;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регулярное освещение в СМИ работ по улучшению водоснабжения сельских населенных пунктов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Программа предусматривает приостановление дальнейшего ухудшения состояния водоснабжения, качества воды источников питьевого водоснабжения, обеспечение доступности воды и продолжение планомерной работы по развитию отрасли с целью сохранения и улучшения здоровья населения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Мероприятиями Программы охвачено 116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Создание новых систем водоснабжения, реконструкция существующих водопроводов, ресурсное и нормативное правовое обеспечение отрасли, формирование рынка услуг по подаче питьевой воды населению и ряд других мер, предусмотренных Программой, позволят: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повысить надежность водоисточников и систем водоснабжения путем обеспечения полного соблюдения требований санитарных правил и норм стандарта качества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максимально использовать местные подземные воды питьевого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исключить децентрализованное использование для питьевых целей воды поверхностных источников, состояние которой в основном характеризуется бактериальным загрязнением;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предотвратить возможность негативного экологического воздействия на источники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продолжить оперативную систему мониторинга за качеством питьевой воды 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результате реализации Программы ожидается ввод в эксплуатацию объектов строительства и реконструкции систем водоснабжения в 116 населенных пунктах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Позитивные изменения в обеспечении питьевой водой создадут удовлетворительные социально-бытовые и санитарно-эпидемиологические условия жизни и, в конечном итоге, положительно скажутся на физическом и духовном здоровье населения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. План мероприятий по реализации областной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"Питьевая вода" 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517"/>
        <w:gridCol w:w="2333"/>
        <w:gridCol w:w="2336"/>
        <w:gridCol w:w="1412"/>
        <w:gridCol w:w="1404"/>
        <w:gridCol w:w="1392"/>
      </w:tblGrid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полагаемые расходы (млн. 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конкурсной документации и заключение договоров в соответствии с законодательством Республики Казахстан о государственных закупках исполнителями по разработке проектно-сметной документации на строительство и реконструкцию объектов водообеспечения в сельских населенных пунктах области: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рабочие проекты по каждому населенному пункту Пакет документации на выполнение работ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природных ресурсов и регулирования природопользования, экономики и бюджетного планирования, архитектуры, градостроительства и строительства области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годов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контроль качества работ, прием объектов питьевого водоснабжения в эксплуатацию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 завершенных объектов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природных ресурсов и регулирования природопользования области,  архитектуры, градостроительства и строительства области, акимы районов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годов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0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 по улучшению качества питьевой воды и бурение глубокой скважины в населенных пунктах области следующих районов: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Павлодарский-1 село(село Красноармейка)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Щербактинский-1 село (село Хмельницкое)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Железинский-2 села (села Веселая Роща, Новокузьминка)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Качирский-1 село (село Березовка)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район-1 село(село Косагаш)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 завершенных объектов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природных ресурсов и регулирования природопользования, архитектуры, градостроительства и строительства области, акимы городов и районов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06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по улучшению качества питьевой воды, бурение глубокой скважины в населенных пунктах области следующих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 (сельская зона)-1 село (село Мойылды)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Железинский-2 села (села Новокузьминка, Веселая Роща)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 (сельская зона)-2 села (села Сольветка, Алгабас)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район-1 село (село Каратомар)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район-1 село (село Березовка)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район-1 село (село Панфилова)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район-1 село (село Хмельницкое)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 завершенных объектов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природных ресурсов и регулирования природопользования, архитектуры, градостроительства и строительства области, акимы городов и районов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10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по улучшению качества питьевой воды, бурение глубокой скважины в населенных пунктах области следующих районов: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район-2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 Веселая Роща, Новокузьминка)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район-1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Зангар)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район-4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 Служон, ЦЭС, Копар, Узунбулак)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район-2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 Тохта, Узунсу)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район-2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 Ковалевка, Богатырь)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район-1 село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Хмельницкое)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 завершенных объектов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природных ресурсов и регулирования природопользования, архитектуры, градостроительства и строительства области, акимы городов и районов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населению сельской местности бесперебойную эксплуатацию систем водоснабжения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Беспрерывная подача воды сельскому населению области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природных ресурсов и регулирования природопользования, архитектуры, градостроительства и строительства области, акимы городов, районов, поселков, аулов (сел), аульных (сельских) округов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районов, иные финансовые источники, не запрещенные законодательством Республики Казахстан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