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3c1d" w14:textId="1c63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областного маслихата от 10 декабря 2003 года N 2/21 "О региональной программе развития сельских территорий Мангистауской области на 2004-2010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30 мая 2005 года N 11/200. Зарегистрировано Департаментом юстиции Мангистауской области 9 июня 2005 года за N 1912. Утратило силу решением Мангистауского областного маслихата от 30 мая 2007 года N 23/380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решением областного маслихата от 6 апреля 2005 года N 10/161 "Об отнесении поселка Мангистау к категории "село" и об образовании Кызылтобинского сельского округа" областной маслихат РЕШИЛ: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решение областного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</w:t>
      </w:r>
      <w:r>
        <w:rPr>
          <w:rFonts w:ascii="Times New Roman"/>
          <w:b w:val="false"/>
          <w:i w:val="false"/>
          <w:color w:val="000000"/>
          <w:sz w:val="28"/>
        </w:rPr>
        <w:t>
 от 10 декабря 2003 года N 2/21 "О Региональной программе развития сельских территорий Мангистауской области на 2004-2010 годы" (Зарегистрировано Департаментом юстиции Мангистауской области 5 января 2004 года N 1580, опубликовано в газете "Огни Мангистау" от 13 апреля 2004 года N 65-66)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приложение 2 дополнить пунктами 41-49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Настоящее решение вступает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 сессии                 Секретарь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областного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к решению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от 30 мая 2005 года N 11/200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695"/>
        <w:gridCol w:w="1569"/>
        <w:gridCol w:w="677"/>
        <w:gridCol w:w="732"/>
        <w:gridCol w:w="622"/>
        <w:gridCol w:w="691"/>
        <w:gridCol w:w="636"/>
        <w:gridCol w:w="636"/>
        <w:gridCol w:w="850"/>
        <w:gridCol w:w="933"/>
        <w:gridCol w:w="760"/>
        <w:gridCol w:w="733"/>
        <w:gridCol w:w="1071"/>
        <w:gridCol w:w="897"/>
      </w:tblGrid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населенный пункт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балл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экологии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фон, мкр/ч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Засоленность почвы, %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балл с учетом экологии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Бостакум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Толеп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16,95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Тасмурын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35,75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г.Актау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г.Актау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Кызылтобе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г.Актау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г.Актау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г.Жанаозен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52,75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