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1a4f" w14:textId="7d11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по инвестиционному управлению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26 ноября 2005 года N 408. Зарегистрировано в Министерстве юстиции Республики Казахстан 26
декабря 2005 года N 3991. Утратило силу - постановлением Правления Агентства Республики Казахстан по регулированию и надзору финансового рынка и финансовых организаций от 27 октября 2006 года N 225 (вводится в действие по истечении 14 дней со дня гос.регистрации в МЮ РК)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Правления Агентства РК по регулированию и надзору финансового рынка и финансовых организаций от 26 ноября 2005 года N 408 утратило силу - постановлением Правления Агентства РК по регулированию и надзору финансового рынка и финансовых организаций от 27 октября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регулирования деятельности организаций, осуществляющих деятельность по инвестиционному управлению пенсионными активами,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Правила осуществления деятельности по инвестиционному управлению пенсионными активами согласно 
</w:t>
      </w:r>
      <w:r>
        <w:rPr>
          <w:rFonts w:ascii="Times New Roman"/>
          <w:b w:val="false"/>
          <w:i w:val="false"/>
          <w:color w:val="000000"/>
          <w:sz w:val="28"/>
        </w:rPr>
        <w:t xml:space="preserve"> приложению 1 </w:t>
      </w:r>
      <w:r>
        <w:rPr>
          <w:rFonts w:ascii="Times New Roman"/>
          <w:b w:val="false"/>
          <w:i w:val="false"/>
          <w:color w:val="000000"/>
          <w:sz w:val="28"/>
        </w:rPr>
        <w:t>
 к настоящему постановлению (далее - Правила).
</w:t>
      </w:r>
    </w:p>
    <w:p>
      <w:pPr>
        <w:spacing w:after="0"/>
        <w:ind w:left="0"/>
        <w:jc w:val="both"/>
      </w:pPr>
      <w:r>
        <w:rPr>
          <w:rFonts w:ascii="Times New Roman"/>
          <w:b w:val="false"/>
          <w:i w:val="false"/>
          <w:color w:val="000000"/>
          <w:sz w:val="28"/>
        </w:rPr>
        <w:t>
</w:t>
      </w:r>
      <w:r>
        <w:rPr>
          <w:rFonts w:ascii="Times New Roman"/>
          <w:b w:val="false"/>
          <w:i w:val="false"/>
          <w:color w:val="000000"/>
          <w:sz w:val="28"/>
        </w:rPr>
        <w:t>
      2. Со дня введения в действие настоящего постановления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30 июля 2005 года N 273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под N 3831).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стратегии и анализа (Еденбаев Е.С.):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Объединений юридических лиц в форме ассоциаций "Ассоциация финансистов Казахстана", "Ассоциация управляющих активами", профессиональных участников рынка ценных бумаг, оказывающих услуги по инвестиционному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5. Организациям, осуществляющим инвестиционное управление пенсионными активами, и накопительным пенсионным фондам, обладающим лицензией на осуществление деятельности по управлению пенсионными активами:
</w:t>
      </w:r>
      <w:r>
        <w:br/>
      </w:r>
      <w:r>
        <w:rPr>
          <w:rFonts w:ascii="Times New Roman"/>
          <w:b w:val="false"/>
          <w:i w:val="false"/>
          <w:color w:val="000000"/>
          <w:sz w:val="28"/>
        </w:rPr>
        <w:t>
      1) в срок до 1 января 2007 года привести свою деятельность в соответствие с требованиями, предусмотренными 
</w:t>
      </w:r>
      <w:r>
        <w:rPr>
          <w:rFonts w:ascii="Times New Roman"/>
          <w:b w:val="false"/>
          <w:i w:val="false"/>
          <w:color w:val="000000"/>
          <w:sz w:val="28"/>
        </w:rPr>
        <w:t xml:space="preserve"> пунктом 35 </w:t>
      </w:r>
      <w:r>
        <w:rPr>
          <w:rFonts w:ascii="Times New Roman"/>
          <w:b w:val="false"/>
          <w:i w:val="false"/>
          <w:color w:val="000000"/>
          <w:sz w:val="28"/>
        </w:rPr>
        <w:t>
 Правил;
</w:t>
      </w:r>
      <w:r>
        <w:br/>
      </w:r>
      <w:r>
        <w:rPr>
          <w:rFonts w:ascii="Times New Roman"/>
          <w:b w:val="false"/>
          <w:i w:val="false"/>
          <w:color w:val="000000"/>
          <w:sz w:val="28"/>
        </w:rPr>
        <w:t>
      2) в срок до 1 января 2008 года привести свою деятельность в соответствие с требованиями, предусмотренными 
</w:t>
      </w:r>
      <w:r>
        <w:rPr>
          <w:rFonts w:ascii="Times New Roman"/>
          <w:b w:val="false"/>
          <w:i w:val="false"/>
          <w:color w:val="000000"/>
          <w:sz w:val="28"/>
        </w:rPr>
        <w:t xml:space="preserve"> пунктом 36 </w:t>
      </w:r>
      <w:r>
        <w:rPr>
          <w:rFonts w:ascii="Times New Roman"/>
          <w:b w:val="false"/>
          <w:i w:val="false"/>
          <w:color w:val="000000"/>
          <w:sz w:val="28"/>
        </w:rPr>
        <w:t>
 Правил.
</w:t>
      </w:r>
      <w:r>
        <w:br/>
      </w:r>
      <w:r>
        <w:rPr>
          <w:rFonts w:ascii="Times New Roman"/>
          <w:b w:val="false"/>
          <w:i w:val="false"/>
          <w:color w:val="000000"/>
          <w:sz w:val="28"/>
        </w:rPr>
        <w:t>
      6.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r>
        <w:br/>
      </w:r>
      <w:r>
        <w:rPr>
          <w:rFonts w:ascii="Times New Roman"/>
          <w:b w:val="false"/>
          <w:i w:val="false"/>
          <w:color w:val="000000"/>
          <w:sz w:val="28"/>
        </w:rPr>
        <w:t>
      7.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постановлению Правления Агентства 
</w:t>
      </w:r>
      <w:r>
        <w:br/>
      </w:r>
      <w:r>
        <w:rPr>
          <w:rFonts w:ascii="Times New Roman"/>
          <w:b w:val="false"/>
          <w:i w:val="false"/>
          <w:color w:val="000000"/>
          <w:sz w:val="28"/>
        </w:rPr>
        <w:t>
                              Республики Казахстан по регулированию 
</w:t>
      </w:r>
      <w:r>
        <w:br/>
      </w:r>
      <w:r>
        <w:rPr>
          <w:rFonts w:ascii="Times New Roman"/>
          <w:b w:val="false"/>
          <w:i w:val="false"/>
          <w:color w:val="000000"/>
          <w:sz w:val="28"/>
        </w:rPr>
        <w:t>
                                и надзору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26 ноября 2005 года N 408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осуществления деятельности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инвестиционному управлению пенсионными активами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разработаны в соответствии со 
</w:t>
      </w:r>
      <w:r>
        <w:rPr>
          <w:rFonts w:ascii="Times New Roman"/>
          <w:b w:val="false"/>
          <w:i w:val="false"/>
          <w:color w:val="000000"/>
          <w:sz w:val="28"/>
        </w:rPr>
        <w:t xml:space="preserve"> статьей 51 </w:t>
      </w:r>
      <w:r>
        <w:rPr>
          <w:rFonts w:ascii="Times New Roman"/>
          <w:b w:val="false"/>
          <w:i w:val="false"/>
          <w:color w:val="000000"/>
          <w:sz w:val="28"/>
        </w:rPr>
        <w:t>
 Закона Республики Казахстан "О пенсионном обеспечении в Республике Казахстан" и устанавливают порядок осуществления деятельности по инвестиционному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
</w:t>
      </w:r>
      <w:r>
        <w:br/>
      </w:r>
      <w:r>
        <w:rPr>
          <w:rFonts w:ascii="Times New Roman"/>
          <w:b w:val="false"/>
          <w:i w:val="false"/>
          <w:color w:val="000000"/>
          <w:sz w:val="28"/>
        </w:rPr>
        <w:t>
      1) бэк-офис - подразделение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основной функцией которого является исполнение сделок с финансовыми инструментами, регистрация совершенных операций во вспомогательном учете на основании первичных документов, полученных от фронт-офиса, учет финансовых инструментов и денег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w:t>
      </w:r>
      <w:r>
        <w:br/>
      </w:r>
      <w:r>
        <w:rPr>
          <w:rFonts w:ascii="Times New Roman"/>
          <w:b w:val="false"/>
          <w:i w:val="false"/>
          <w:color w:val="000000"/>
          <w:sz w:val="28"/>
        </w:rPr>
        <w:t>
      2) бэк-тестинг - методы проверки эффективности процедур измерения рисков с использованием исторических данных по организации, осуществляющей инвестиционное управление пенсионными активами или накопительному пенсионному фонду, обладающему лицензией на осуществление деятельности по управлению пенсионными активами, и сравнением рассчитанных результатов с текущими (фактическими) результатами от совершения указанных операций;
</w:t>
      </w:r>
      <w:r>
        <w:br/>
      </w:r>
      <w:r>
        <w:rPr>
          <w:rFonts w:ascii="Times New Roman"/>
          <w:b w:val="false"/>
          <w:i w:val="false"/>
          <w:color w:val="000000"/>
          <w:sz w:val="28"/>
        </w:rPr>
        <w:t>
      3) валютный риск - риск возникновения расходов (убытков), связанный с изменением курсов иностранных валют при осуществлении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своей деятельности. Опасность расходов (убытков) возникает из-за переоценки позиций по валютам в стоимостном выражении;
</w:t>
      </w:r>
      <w:r>
        <w:br/>
      </w:r>
      <w:r>
        <w:rPr>
          <w:rFonts w:ascii="Times New Roman"/>
          <w:b w:val="false"/>
          <w:i w:val="false"/>
          <w:color w:val="000000"/>
          <w:sz w:val="28"/>
        </w:rPr>
        <w:t>
      4) гэп - методы измерения процентного риска и риска потери ликвидности на основе сравнения объема активов и обязательств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подверженных изменениям ставок вознаграждения или подлежащих погашению в течение определенных сроков;
</w:t>
      </w:r>
      <w:r>
        <w:br/>
      </w:r>
      <w:r>
        <w:rPr>
          <w:rFonts w:ascii="Times New Roman"/>
          <w:b w:val="false"/>
          <w:i w:val="false"/>
          <w:color w:val="000000"/>
          <w:sz w:val="28"/>
        </w:rPr>
        <w:t>
      5) диверсификация - размещение активов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в различные финансовые инструменты, разрешенные законодательством;
</w:t>
      </w:r>
      <w:r>
        <w:br/>
      </w:r>
      <w:r>
        <w:rPr>
          <w:rFonts w:ascii="Times New Roman"/>
          <w:b w:val="false"/>
          <w:i w:val="false"/>
          <w:color w:val="000000"/>
          <w:sz w:val="28"/>
        </w:rPr>
        <w:t>
      6) кредитный риск - риск возникновения расходов (убытков) вследствие неуплаты заемщиком (эмитентом) основного долга и вознаграждения, причитающихся кредитору (инвестору), в установленный условиями выпуска ценной бумаги срок (облигации, государственные обязательства и другие), а также по привилегированным акциям (в части фиксированных обязательств по выплате дивидендов). Кредитный риск также включает риск потерь, возникающих в связи с невыполнением партнером обязательств по свопам, опционам и в период урегулирования расчетов по ценным бумагам;
</w:t>
      </w:r>
      <w:r>
        <w:br/>
      </w:r>
      <w:r>
        <w:rPr>
          <w:rFonts w:ascii="Times New Roman"/>
          <w:b w:val="false"/>
          <w:i w:val="false"/>
          <w:color w:val="000000"/>
          <w:sz w:val="28"/>
        </w:rPr>
        <w:t>
      7) операционный риск - риск возникновения расходов (убытков) вследствие нарушения (несоблюдения)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требований к организации внутреннего контроля. Операционный риск также включает риски, связанные с возникновением существенных сбоев в операционных (компьютерных) системах, превышения установленных лимитов, мошенничества при совершении операций с ценными бумагами или в ходе работы бэк-офиса, ошибками операторов;
</w:t>
      </w:r>
      <w:r>
        <w:br/>
      </w:r>
      <w:r>
        <w:rPr>
          <w:rFonts w:ascii="Times New Roman"/>
          <w:b w:val="false"/>
          <w:i w:val="false"/>
          <w:color w:val="000000"/>
          <w:sz w:val="28"/>
        </w:rPr>
        <w:t>
      8) правовой риск - риск возникновения расходов (убытков) вследствие нарушения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требований законодательства Республики Казахстан либо несоответствия практики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его внутренним документам, а в отношениях с нерезидентами Республики Казахстан - законодательств других государств;
</w:t>
      </w:r>
      <w:r>
        <w:br/>
      </w:r>
      <w:r>
        <w:rPr>
          <w:rFonts w:ascii="Times New Roman"/>
          <w:b w:val="false"/>
          <w:i w:val="false"/>
          <w:color w:val="000000"/>
          <w:sz w:val="28"/>
        </w:rPr>
        <w:t>
      9) процентный риск - риск возникновения расходов (убытков) вследствие неблагоприятного изменения ставок вознаграждения, включающий:
</w:t>
      </w:r>
      <w:r>
        <w:br/>
      </w:r>
      <w:r>
        <w:rPr>
          <w:rFonts w:ascii="Times New Roman"/>
          <w:b w:val="false"/>
          <w:i w:val="false"/>
          <w:color w:val="000000"/>
          <w:sz w:val="28"/>
        </w:rPr>
        <w:t>
      риск возникновения расходов (убытков) из-за несоответствия сроков возврата и погашения размещенных активов и привлеченных обязательств (при фиксированных ставках вознаграждения);
</w:t>
      </w:r>
      <w:r>
        <w:br/>
      </w:r>
      <w:r>
        <w:rPr>
          <w:rFonts w:ascii="Times New Roman"/>
          <w:b w:val="false"/>
          <w:i w:val="false"/>
          <w:color w:val="000000"/>
          <w:sz w:val="28"/>
        </w:rPr>
        <w:t>
      базисный риск, связанный с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w:t>
      </w:r>
      <w:r>
        <w:br/>
      </w:r>
      <w:r>
        <w:rPr>
          <w:rFonts w:ascii="Times New Roman"/>
          <w:b w:val="false"/>
          <w:i w:val="false"/>
          <w:color w:val="000000"/>
          <w:sz w:val="28"/>
        </w:rPr>
        <w:t>
      10) риск потери ликвидности - риск, связанный с возможным невыполнением либо несвоевременным выполнением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своих обязательств. Риск ликвидности ценных бумаг как активов определяется их способностью быть проданными быстро, с низкими издержками и по приемлемым ценам; 
</w:t>
      </w:r>
      <w:r>
        <w:br/>
      </w:r>
      <w:r>
        <w:rPr>
          <w:rFonts w:ascii="Times New Roman"/>
          <w:b w:val="false"/>
          <w:i w:val="false"/>
          <w:color w:val="000000"/>
          <w:sz w:val="28"/>
        </w:rPr>
        <w:t>
      11) рыночный риск - риск возникновения расходов (убытков), связанных с неблагоприятными движениями финансовых рынков. Рыночный риск имеет макроэкономическую природу, то есть источниками рыночных рисков являются макроэкономические показатели финансовой системы;
</w:t>
      </w:r>
      <w:r>
        <w:br/>
      </w:r>
      <w:r>
        <w:rPr>
          <w:rFonts w:ascii="Times New Roman"/>
          <w:b w:val="false"/>
          <w:i w:val="false"/>
          <w:color w:val="000000"/>
          <w:sz w:val="28"/>
        </w:rPr>
        <w:t>
      12) система управления рисками - это процесс, включающий четыре основных элемента: оценка риска, измерение риска, контроль риска и мониторинг риска;
</w:t>
      </w:r>
      <w:r>
        <w:br/>
      </w:r>
      <w:r>
        <w:rPr>
          <w:rFonts w:ascii="Times New Roman"/>
          <w:b w:val="false"/>
          <w:i w:val="false"/>
          <w:color w:val="000000"/>
          <w:sz w:val="28"/>
        </w:rPr>
        <w:t>
      13) страновой (трансфертный) риск - риск возникновения расходов (убытков) вследствие неплатежеспособности или нежелания иностранного государства или резидента иностранного государства отвечать по обязательствам перед Организацией (Фондом) по причинам, не связанным с финансовыми рисками;
</w:t>
      </w:r>
      <w:r>
        <w:br/>
      </w:r>
      <w:r>
        <w:rPr>
          <w:rFonts w:ascii="Times New Roman"/>
          <w:b w:val="false"/>
          <w:i w:val="false"/>
          <w:color w:val="000000"/>
          <w:sz w:val="28"/>
        </w:rPr>
        <w:t>
      14) стресс-тестинг - методы измерения потенциального влияния на финансовое положение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исключительных, но возможных событий, которые могут оказать влияние на деятельность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w:t>
      </w:r>
      <w:r>
        <w:br/>
      </w:r>
      <w:r>
        <w:rPr>
          <w:rFonts w:ascii="Times New Roman"/>
          <w:b w:val="false"/>
          <w:i w:val="false"/>
          <w:color w:val="000000"/>
          <w:sz w:val="28"/>
        </w:rPr>
        <w:t>
      15) фронт-офис - подразделение организации, осуществляющей инвестиционное управление пенсионными активами или накопительного пенсионного фонда, обладающего лицензией на осуществление деятельности по управлению пенсионными активами, основной функцией которого является заключение сделок с финансовыми инструментами; 
</w:t>
      </w:r>
      <w:r>
        <w:br/>
      </w:r>
      <w:r>
        <w:rPr>
          <w:rFonts w:ascii="Times New Roman"/>
          <w:b w:val="false"/>
          <w:i w:val="false"/>
          <w:color w:val="000000"/>
          <w:sz w:val="28"/>
        </w:rPr>
        <w:t>
      16) ценовой риск - риск возникновения расходов (убытков) вследствие изменения стоимости финансовых инструментов, возникающий в случае изменения условий финансовых рынков, влияющих на рыночную стоимость финансовых инструментов;
</w:t>
      </w:r>
      <w:r>
        <w:br/>
      </w:r>
      <w:r>
        <w:rPr>
          <w:rFonts w:ascii="Times New Roman"/>
          <w:b w:val="false"/>
          <w:i w:val="false"/>
          <w:color w:val="000000"/>
          <w:sz w:val="28"/>
        </w:rPr>
        <w:t>
      17) "stop-loss" - политика установления лимитов, предельно допустимый уровень потерь по операциям с финансовыми инструментами.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Объекты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Организация, осуществляющая инвестиционное управление пенсионными активами (далее - Организация) и/или накопительный пенсионный фонд, обладающий лицензией на осуществление деятельности по управлению пенсионными активами (далее - Фонд) самостоятельно размещают находящиеся в инвестиционном управлении пенсионные активы каждого отдельного Фонда в финансовые инструменты, в размерах от общего объема пенсионных активов (включая текущий объем инвестиций и остаток денег на инвестиционных счетах Фонда у кастодиана на дату заключения сделки), указанных в 
</w:t>
      </w:r>
      <w:r>
        <w:rPr>
          <w:rFonts w:ascii="Times New Roman"/>
          <w:b w:val="false"/>
          <w:i w:val="false"/>
          <w:color w:val="000000"/>
          <w:sz w:val="28"/>
        </w:rPr>
        <w:t xml:space="preserve"> Приложении 1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Условия и порядок инвестирования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Сделки за счет пенсионных активов совершаются Организацией (Фондом) на основании инвестиционного решения, принятого коллегиальным органом, уполномоченным на принятие инвестиционных решений.
</w:t>
      </w:r>
      <w:r>
        <w:br/>
      </w:r>
      <w:r>
        <w:rPr>
          <w:rFonts w:ascii="Times New Roman"/>
          <w:b w:val="false"/>
          <w:i w:val="false"/>
          <w:color w:val="000000"/>
          <w:sz w:val="28"/>
        </w:rPr>
        <w:t>
      Сделки Организации (Фонда) с негосударственными ценными бумагами на первичном неорганизованном рынке (при их размещении) совершаются Организацией (Фондом) самостоятельно.
</w:t>
      </w:r>
      <w:r>
        <w:br/>
      </w:r>
      <w:r>
        <w:rPr>
          <w:rFonts w:ascii="Times New Roman"/>
          <w:b w:val="false"/>
          <w:i w:val="false"/>
          <w:color w:val="000000"/>
          <w:sz w:val="28"/>
        </w:rPr>
        <w:t>
      Сделки Организации (Фонда) с государственными ценными бумагами и негосударственными ценными бумагами на вторичном рынке совершаются Организацией (Фондом) исключительно на организованных рынках ценных бумаг, за исключением случая, установленного абзацем четвертым настоящего пункта.
</w:t>
      </w:r>
      <w:r>
        <w:br/>
      </w:r>
      <w:r>
        <w:rPr>
          <w:rFonts w:ascii="Times New Roman"/>
          <w:b w:val="false"/>
          <w:i w:val="false"/>
          <w:color w:val="000000"/>
          <w:sz w:val="28"/>
        </w:rPr>
        <w:t>
      Организация (Фонд) может требовать выкупа имеющихся в инвестиционном портфеле акций у эмитента согласно 
</w:t>
      </w:r>
      <w:r>
        <w:rPr>
          <w:rFonts w:ascii="Times New Roman"/>
          <w:b w:val="false"/>
          <w:i w:val="false"/>
          <w:color w:val="000000"/>
          <w:sz w:val="28"/>
        </w:rPr>
        <w:t xml:space="preserve"> статье 27 </w:t>
      </w:r>
      <w:r>
        <w:rPr>
          <w:rFonts w:ascii="Times New Roman"/>
          <w:b w:val="false"/>
          <w:i w:val="false"/>
          <w:color w:val="000000"/>
          <w:sz w:val="28"/>
        </w:rPr>
        <w:t>
 Закона Республики Казахстан "Об акционерных обществах".
</w:t>
      </w:r>
    </w:p>
    <w:p>
      <w:pPr>
        <w:spacing w:after="0"/>
        <w:ind w:left="0"/>
        <w:jc w:val="both"/>
      </w:pPr>
      <w:r>
        <w:rPr>
          <w:rFonts w:ascii="Times New Roman"/>
          <w:b w:val="false"/>
          <w:i w:val="false"/>
          <w:color w:val="000000"/>
          <w:sz w:val="28"/>
        </w:rPr>
        <w:t>
</w:t>
      </w:r>
      <w:r>
        <w:rPr>
          <w:rFonts w:ascii="Times New Roman"/>
          <w:b w:val="false"/>
          <w:i w:val="false"/>
          <w:color w:val="000000"/>
          <w:sz w:val="28"/>
        </w:rPr>
        <w:t>
      5. При наличии у Фонда лицензии на осуществление деятельности по инвестиционному управлению пенсионными активами, а также на брокерскую и дилерскую деятельность без права ведения счетов клиентов, Фонд оказывает услуги брокера, дилера только в отношении пенсионных активов, находящихся у него в управлении, и собственных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6. Сделки купли-продажи государственных и негосударственных ценных бумаг, совершенные на организованных рынках ценных бумаг с участием пенсионных активов, должны быть заключены методом открытых торгов. Сделки«обратного репо, совершаемые с участием пенсионных активов, могут заключаться на срок не более 30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7. Размер инвестиций Организации (Фонда) в негосударственные эмиссионные ценные бумаги одного эмитента, во вклады в одном банке второго уровня должен соответствовать ограничениям, установленным для Организации (Фонда) пруденциальными нормативами. Организация (Фонд) не может приобретать негосударственные ценные бумаги, включенные в официальный список организатора торгов, на первичном рынке (при их размещении) в случае, если организатор торгов приостановил торги с данными ценными бумагами.
</w:t>
      </w:r>
    </w:p>
    <w:p>
      <w:pPr>
        <w:spacing w:after="0"/>
        <w:ind w:left="0"/>
        <w:jc w:val="both"/>
      </w:pPr>
      <w:r>
        <w:rPr>
          <w:rFonts w:ascii="Times New Roman"/>
          <w:b w:val="false"/>
          <w:i w:val="false"/>
          <w:color w:val="000000"/>
          <w:sz w:val="28"/>
        </w:rPr>
        <w:t>
</w:t>
      </w:r>
      <w:r>
        <w:rPr>
          <w:rFonts w:ascii="Times New Roman"/>
          <w:b w:val="false"/>
          <w:i w:val="false"/>
          <w:color w:val="000000"/>
          <w:sz w:val="28"/>
        </w:rPr>
        <w:t>
      8. Годовая ставка получаемого вознаграждения по вкладу в банке второго уровня, в который размещаются собственные активы Организации (Фонда) и пенсионные активы Фонда, должна быть не меньше ставки аппроксимированной доходности по государственным ценным бумагам Республики Казахстан, номинированным в национальной или иностранной валюте (в зависимости от валюты, к которой привязана ставка по вкладу), за период инвестирования, аналогичный сроку вклада. Указанная аппроксимированная доходность определяется уполномоченным органом по регулированию и надзору финансового рынка и финансовых организаций (далее - уполномоченный орган) методом логарифмической аппроксимации на основе цен, сложившихся по результатам торгов, проведенных организатором торгов, с государственными ценными бумагами Республики Казахстан:
</w:t>
      </w:r>
      <w:r>
        <w:br/>
      </w:r>
      <w:r>
        <w:rPr>
          <w:rFonts w:ascii="Times New Roman"/>
          <w:b w:val="false"/>
          <w:i w:val="false"/>
          <w:color w:val="000000"/>
          <w:sz w:val="28"/>
        </w:rPr>
        <w:t>
      1) в отношении государственных ценных бумаг Республики Казахстан, номинированных в национальной валюте, - за недельный период, предшествующий дате размещения пенсионных или собственных активов во вклад;
</w:t>
      </w:r>
      <w:r>
        <w:br/>
      </w:r>
      <w:r>
        <w:rPr>
          <w:rFonts w:ascii="Times New Roman"/>
          <w:b w:val="false"/>
          <w:i w:val="false"/>
          <w:color w:val="000000"/>
          <w:sz w:val="28"/>
        </w:rPr>
        <w:t>
      2) в отношении государственных ценных бумаг Республики Казахстан, номинированных в иностранной валюте, - за месячный период, предшествующий дате размещения пенсионных или собственных активов во вклад.
</w:t>
      </w:r>
      <w:r>
        <w:br/>
      </w:r>
      <w:r>
        <w:rPr>
          <w:rFonts w:ascii="Times New Roman"/>
          <w:b w:val="false"/>
          <w:i w:val="false"/>
          <w:color w:val="000000"/>
          <w:sz w:val="28"/>
        </w:rPr>
        <w:t>
      Аппроксимированная доходность рассчитывается по следующей формуле:
</w:t>
      </w:r>
    </w:p>
    <w:p>
      <w:pPr>
        <w:spacing w:after="0"/>
        <w:ind w:left="0"/>
        <w:jc w:val="both"/>
      </w:pPr>
      <w:r>
        <w:rPr>
          <w:rFonts w:ascii="Times New Roman"/>
          <w:b w:val="false"/>
          <w:i w:val="false"/>
          <w:color w:val="000000"/>
          <w:sz w:val="28"/>
        </w:rPr>
        <w:t>
I = a*ln(x) + b, где x - срок вклада,
</w:t>
      </w:r>
    </w:p>
    <w:p>
      <w:pPr>
        <w:spacing w:after="0"/>
        <w:ind w:left="0"/>
        <w:jc w:val="both"/>
      </w:pPr>
      <w:r>
        <w:rPr>
          <w:rFonts w:ascii="Times New Roman"/>
          <w:b w:val="false"/>
          <w:i w:val="false"/>
          <w:color w:val="000000"/>
          <w:sz w:val="28"/>
        </w:rPr>
        <w:t>
</w:t>
      </w:r>
      <w:r>
        <w:drawing>
          <wp:inline distT="0" distB="0" distL="0" distR="0">
            <wp:extent cx="1734312" cy="993648"/>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34312" cy="993648"/>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
      где
</w:t>
      </w:r>
      <w:r>
        <w:br/>
      </w:r>
      <w:r>
        <w:rPr>
          <w:rFonts w:ascii="Times New Roman"/>
          <w:b w:val="false"/>
          <w:i w:val="false"/>
          <w:color w:val="000000"/>
          <w:sz w:val="28"/>
        </w:rPr>
        <w:t>
      Ii(t) - доходность, в процентах по имеющимся значениям за исследуемый период;
</w:t>
      </w:r>
      <w:r>
        <w:br/>
      </w:r>
      <w:r>
        <w:rPr>
          <w:rFonts w:ascii="Times New Roman"/>
          <w:b w:val="false"/>
          <w:i w:val="false"/>
          <w:color w:val="000000"/>
          <w:sz w:val="28"/>
        </w:rPr>
        <w:t>
      t - количество дней до погашения;
</w:t>
      </w:r>
      <w:r>
        <w:br/>
      </w:r>
      <w:r>
        <w:rPr>
          <w:rFonts w:ascii="Times New Roman"/>
          <w:b w:val="false"/>
          <w:i w:val="false"/>
          <w:color w:val="000000"/>
          <w:sz w:val="28"/>
        </w:rPr>
        <w:t>
      n - количество значений доходности, использованных при определении коэффициентов уравнения.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 Указанная в 
</w:t>
      </w:r>
      <w:r>
        <w:rPr>
          <w:rFonts w:ascii="Times New Roman"/>
          <w:b w:val="false"/>
          <w:i w:val="false"/>
          <w:color w:val="000000"/>
          <w:sz w:val="28"/>
        </w:rPr>
        <w:t xml:space="preserve"> пункте 8 </w:t>
      </w:r>
      <w:r>
        <w:rPr>
          <w:rFonts w:ascii="Times New Roman"/>
          <w:b w:val="false"/>
          <w:i w:val="false"/>
          <w:color w:val="000000"/>
          <w:sz w:val="28"/>
        </w:rPr>
        <w:t>
 настоящих Правил аппроксимированная доходность по государственным ценным бумагам Республики Казахстан, номинированным в национальной и иностранной валютах, публикуется и обновляется уполномоченным органом еженедельно в первый рабочий день недели в промежутке между 18.00 и 21.00 часами алматинского времени в виде "кривых линий доходности" в разделе "Оценка активов" в сети Интернет на web-сайте уполномоченного органа.
</w:t>
      </w:r>
      <w:r>
        <w:br/>
      </w:r>
      <w:r>
        <w:rPr>
          <w:rFonts w:ascii="Times New Roman"/>
          <w:b w:val="false"/>
          <w:i w:val="false"/>
          <w:color w:val="000000"/>
          <w:sz w:val="28"/>
        </w:rPr>
        <w:t>
      Срок размещения пенсионных активов Фонда во вклад в банке второго уровня не может превышать тридцати шести месяцев. До истечения этого срока сумма вклада и сумма вознаграждения по нему должны быть зачислены на инвестиционные счета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10. Пенсионные активы, поступающие на инвестиционные счета Фонда в банке-кастодиане, на корреспондентские счета банка-кастодиана данного Фонда в зарубежных банках-кастодианах и на счета банка-кастодиана в иностранных организациях - участниках международных депозитарно-расчетных систем, подлежат инвестированию Организацией (Фондом) в полном объеме за вычетом текущих отчислений в течение семи рабочих дней. 
</w:t>
      </w:r>
      <w:r>
        <w:br/>
      </w:r>
      <w:r>
        <w:rPr>
          <w:rFonts w:ascii="Times New Roman"/>
          <w:b w:val="false"/>
          <w:i w:val="false"/>
          <w:color w:val="000000"/>
          <w:sz w:val="28"/>
        </w:rPr>
        <w:t>
      В случае нарушения требования, установленного абзацем первым настоящего пункта, за исключением случая, когда остаток денег на указанных счетах Фонда составляет менее величины, установленной 
</w:t>
      </w:r>
      <w:r>
        <w:rPr>
          <w:rFonts w:ascii="Times New Roman"/>
          <w:b w:val="false"/>
          <w:i w:val="false"/>
          <w:color w:val="000000"/>
          <w:sz w:val="28"/>
        </w:rPr>
        <w:t xml:space="preserve"> пунктом 11 </w:t>
      </w:r>
      <w:r>
        <w:rPr>
          <w:rFonts w:ascii="Times New Roman"/>
          <w:b w:val="false"/>
          <w:i w:val="false"/>
          <w:color w:val="000000"/>
          <w:sz w:val="28"/>
        </w:rPr>
        <w:t>
 настоящих Правил, Организация (Фонд) направляет в течение одного дня с даты нарушения в уполномоченный орган информацию о факте и причинах данного нарушения с приложением плана мероприятий по его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11. Максимальный размер остатка денег Фонда, предназначенных для инвестирования, включая в совокупности деньги Фонда: на инвестиционных счетах в банке-кастодиане; на корреспондентских счетах банка-кастодиана данного Фонда в зарубежных банках-кастодианах; на счетах банка-кастодиана в иностранных организациях - участниках международных депозитарно-расчетных систем, при котором не требуется Организации (Фонду) направлять информацию в уполномоченный орган о факте и причинах нарушения требования абзаца первого 
</w:t>
      </w:r>
      <w:r>
        <w:rPr>
          <w:rFonts w:ascii="Times New Roman"/>
          <w:b w:val="false"/>
          <w:i w:val="false"/>
          <w:color w:val="000000"/>
          <w:sz w:val="28"/>
        </w:rPr>
        <w:t xml:space="preserve"> пункта 10 </w:t>
      </w:r>
      <w:r>
        <w:rPr>
          <w:rFonts w:ascii="Times New Roman"/>
          <w:b w:val="false"/>
          <w:i w:val="false"/>
          <w:color w:val="000000"/>
          <w:sz w:val="28"/>
        </w:rPr>
        <w:t>
 настоящих Правил, составляет при размере пенсионных активов один миллиард тенге и более, - 1,5% от размера пенсионных активов.
</w:t>
      </w:r>
      <w:r>
        <w:br/>
      </w:r>
      <w:r>
        <w:rPr>
          <w:rFonts w:ascii="Times New Roman"/>
          <w:b w:val="false"/>
          <w:i w:val="false"/>
          <w:color w:val="000000"/>
          <w:sz w:val="28"/>
        </w:rPr>
        <w:t>
      Информация, указанная в абзаце втором 
</w:t>
      </w:r>
      <w:r>
        <w:rPr>
          <w:rFonts w:ascii="Times New Roman"/>
          <w:b w:val="false"/>
          <w:i w:val="false"/>
          <w:color w:val="000000"/>
          <w:sz w:val="28"/>
        </w:rPr>
        <w:t xml:space="preserve"> пункта 10 </w:t>
      </w:r>
      <w:r>
        <w:rPr>
          <w:rFonts w:ascii="Times New Roman"/>
          <w:b w:val="false"/>
          <w:i w:val="false"/>
          <w:color w:val="000000"/>
          <w:sz w:val="28"/>
        </w:rPr>
        <w:t>
 настоящих Правил, должна быть получена уполномоченным органом до истечения срока, определенного в соответствии с абзацем первым пункта 10 настоящих Правил. В случае, если до истечения данного срока осталось менее двух рабочих дней, информация должна содержать объяснение причины ее позднего представления.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12. Организация (Фонд) действует исключительно в интересах вкладчиков Фонда, чьи пенсионные активы были приняты в инвестиционное управление.
</w:t>
      </w:r>
      <w:r>
        <w:br/>
      </w:r>
      <w:r>
        <w:rPr>
          <w:rFonts w:ascii="Times New Roman"/>
          <w:b w:val="false"/>
          <w:i w:val="false"/>
          <w:color w:val="000000"/>
          <w:sz w:val="28"/>
        </w:rPr>
        <w:t>
      Организация (Фонд) не может принимать инвестиционные решения о продаже (покупке) за счет собственных активов и/или покупке (продаже) за счет пенсионных активов, находящихся в инвестиционном управлении Организации (Фонда), ценных бумаг с одним национальным идентификационным номером в один и тот же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13. В случае, если в результате каких-либо обстоятельств структура портфеля финансовых инструментов, приобретенных за счет пенсионных активов Фонда, перестанет соответствовать условиям, установленным 
</w:t>
      </w:r>
      <w:r>
        <w:rPr>
          <w:rFonts w:ascii="Times New Roman"/>
          <w:b w:val="false"/>
          <w:i w:val="false"/>
          <w:color w:val="000000"/>
          <w:sz w:val="28"/>
        </w:rPr>
        <w:t xml:space="preserve"> пунктами 3 и 7 </w:t>
      </w:r>
      <w:r>
        <w:rPr>
          <w:rFonts w:ascii="Times New Roman"/>
          <w:b w:val="false"/>
          <w:i w:val="false"/>
          <w:color w:val="000000"/>
          <w:sz w:val="28"/>
        </w:rPr>
        <w:t>
 настоящих Правил, Организация (Фонд) незамедлительно прекращает инвестиционную деятельность, усугубляющую такое несоответствие, и в течение одного дня сообщает уполномоченному органу о факте и причинах данного несоответствия с приложением плана мероприятий по его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14. Организация (Фонд) деятельность по инвестиционному управлению пенсионными активами осуществляет на основании внутренних документов, определяющих (в том числе):
</w:t>
      </w:r>
      <w:r>
        <w:br/>
      </w:r>
      <w:r>
        <w:rPr>
          <w:rFonts w:ascii="Times New Roman"/>
          <w:b w:val="false"/>
          <w:i w:val="false"/>
          <w:color w:val="000000"/>
          <w:sz w:val="28"/>
        </w:rPr>
        <w:t>
      порядок принятия инвестиционных решений в отношении пенсионных активов;
</w:t>
      </w:r>
      <w:r>
        <w:br/>
      </w:r>
      <w:r>
        <w:rPr>
          <w:rFonts w:ascii="Times New Roman"/>
          <w:b w:val="false"/>
          <w:i w:val="false"/>
          <w:color w:val="000000"/>
          <w:sz w:val="28"/>
        </w:rPr>
        <w:t>
      порядок совершения сделок с участием пенсионных активов и осуществления контроля за их совершением;
</w:t>
      </w:r>
      <w:r>
        <w:br/>
      </w:r>
      <w:r>
        <w:rPr>
          <w:rFonts w:ascii="Times New Roman"/>
          <w:b w:val="false"/>
          <w:i w:val="false"/>
          <w:color w:val="000000"/>
          <w:sz w:val="28"/>
        </w:rPr>
        <w:t>
      порядок внутреннего контроля за обеспечением целостности данных и конфиденциальностью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15. Инвестиционные решения в отношении пенсионных активов принимаются на основании рекомендаций для принятия инвестиционных решений (далее - рекомендации).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16. Порядок принятия инвестиционных решений в отношении пенсионных активов должен содержать:
</w:t>
      </w:r>
      <w:r>
        <w:br/>
      </w:r>
      <w:r>
        <w:rPr>
          <w:rFonts w:ascii="Times New Roman"/>
          <w:b w:val="false"/>
          <w:i w:val="false"/>
          <w:color w:val="000000"/>
          <w:sz w:val="28"/>
        </w:rPr>
        <w:t>
      1) порядок сбора, обработки и анализа информации для выдачи рекомендаций, предусматривающий:
</w:t>
      </w:r>
      <w:r>
        <w:br/>
      </w:r>
      <w:r>
        <w:rPr>
          <w:rFonts w:ascii="Times New Roman"/>
          <w:b w:val="false"/>
          <w:i w:val="false"/>
          <w:color w:val="000000"/>
          <w:sz w:val="28"/>
        </w:rPr>
        <w:t>
      перечень должностей лиц, уполномоченных на выдачу рекомендаций;
</w:t>
      </w:r>
      <w:r>
        <w:br/>
      </w:r>
      <w:r>
        <w:rPr>
          <w:rFonts w:ascii="Times New Roman"/>
          <w:b w:val="false"/>
          <w:i w:val="false"/>
          <w:color w:val="000000"/>
          <w:sz w:val="28"/>
        </w:rPr>
        <w:t>
      анализ состояния портфеля пенсионных активов; 
</w:t>
      </w:r>
      <w:r>
        <w:br/>
      </w:r>
      <w:r>
        <w:rPr>
          <w:rFonts w:ascii="Times New Roman"/>
          <w:b w:val="false"/>
          <w:i w:val="false"/>
          <w:color w:val="000000"/>
          <w:sz w:val="28"/>
        </w:rPr>
        <w:t>
      анализ наличия, условий обращения и доходности финансовых инструментов, в которые предполагается осуществить инвестирование;
</w:t>
      </w:r>
      <w:r>
        <w:br/>
      </w:r>
      <w:r>
        <w:rPr>
          <w:rFonts w:ascii="Times New Roman"/>
          <w:b w:val="false"/>
          <w:i w:val="false"/>
          <w:color w:val="000000"/>
          <w:sz w:val="28"/>
        </w:rPr>
        <w:t>
      анализ рисков, связанных с финансовыми инструментами, в которые предполагается осуществить инвестирование;
</w:t>
      </w:r>
      <w:r>
        <w:br/>
      </w:r>
      <w:r>
        <w:rPr>
          <w:rFonts w:ascii="Times New Roman"/>
          <w:b w:val="false"/>
          <w:i w:val="false"/>
          <w:color w:val="000000"/>
          <w:sz w:val="28"/>
        </w:rPr>
        <w:t>
      анализ соблюдения норм диверсификации, установленных нормативными правовыми актами уполномоченного органа;
</w:t>
      </w:r>
      <w:r>
        <w:br/>
      </w:r>
      <w:r>
        <w:rPr>
          <w:rFonts w:ascii="Times New Roman"/>
          <w:b w:val="false"/>
          <w:i w:val="false"/>
          <w:color w:val="000000"/>
          <w:sz w:val="28"/>
        </w:rPr>
        <w:t>
      анализ иных факторов, существенных для выдачи рекомендаций;
</w:t>
      </w:r>
      <w:r>
        <w:br/>
      </w:r>
      <w:r>
        <w:rPr>
          <w:rFonts w:ascii="Times New Roman"/>
          <w:b w:val="false"/>
          <w:i w:val="false"/>
          <w:color w:val="000000"/>
          <w:sz w:val="28"/>
        </w:rPr>
        <w:t>
      2) порядок регистрации в едином регистрационном журнале рекомендаций и инвестиционных решений, принятых на их основании;
</w:t>
      </w:r>
      <w:r>
        <w:br/>
      </w:r>
      <w:r>
        <w:rPr>
          <w:rFonts w:ascii="Times New Roman"/>
          <w:b w:val="false"/>
          <w:i w:val="false"/>
          <w:color w:val="000000"/>
          <w:sz w:val="28"/>
        </w:rPr>
        <w:t>
      3) перечень должностей лиц, входящих в коллегиальный орган, уполномоченных на принятие инвестиционных решений;
</w:t>
      </w:r>
      <w:r>
        <w:br/>
      </w:r>
      <w:r>
        <w:rPr>
          <w:rFonts w:ascii="Times New Roman"/>
          <w:b w:val="false"/>
          <w:i w:val="false"/>
          <w:color w:val="000000"/>
          <w:sz w:val="28"/>
        </w:rPr>
        <w:t>
      4) порядок принятия инвестиционных решений коллегиальным органом, уполномоченным на принятие инвестиционных 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Рекомендация должна содержать:
</w:t>
      </w:r>
      <w:r>
        <w:br/>
      </w:r>
      <w:r>
        <w:rPr>
          <w:rFonts w:ascii="Times New Roman"/>
          <w:b w:val="false"/>
          <w:i w:val="false"/>
          <w:color w:val="000000"/>
          <w:sz w:val="28"/>
        </w:rPr>
        <w:t>
      1) дату выдачи и номер рекомендации;
</w:t>
      </w:r>
      <w:r>
        <w:br/>
      </w:r>
      <w:r>
        <w:rPr>
          <w:rFonts w:ascii="Times New Roman"/>
          <w:b w:val="false"/>
          <w:i w:val="false"/>
          <w:color w:val="000000"/>
          <w:sz w:val="28"/>
        </w:rPr>
        <w:t>
      2) перечень (описание) источников информации, использованной для выдачи рекомендации;
</w:t>
      </w:r>
      <w:r>
        <w:br/>
      </w:r>
      <w:r>
        <w:rPr>
          <w:rFonts w:ascii="Times New Roman"/>
          <w:b w:val="false"/>
          <w:i w:val="false"/>
          <w:color w:val="000000"/>
          <w:sz w:val="28"/>
        </w:rPr>
        <w:t>
      3) результаты анализа информации, использованной для выдачи рекомендации;
</w:t>
      </w:r>
      <w:r>
        <w:br/>
      </w:r>
      <w:r>
        <w:rPr>
          <w:rFonts w:ascii="Times New Roman"/>
          <w:b w:val="false"/>
          <w:i w:val="false"/>
          <w:color w:val="000000"/>
          <w:sz w:val="28"/>
        </w:rPr>
        <w:t>
      4) предлагаемые варианты инвестиционного решения;
</w:t>
      </w:r>
      <w:r>
        <w:br/>
      </w:r>
      <w:r>
        <w:rPr>
          <w:rFonts w:ascii="Times New Roman"/>
          <w:b w:val="false"/>
          <w:i w:val="false"/>
          <w:color w:val="000000"/>
          <w:sz w:val="28"/>
        </w:rPr>
        <w:t>
      5) подписи лиц, выдавших рекомендацию.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18. Инвестиционное решение должно содержать:
</w:t>
      </w:r>
      <w:r>
        <w:br/>
      </w:r>
      <w:r>
        <w:rPr>
          <w:rFonts w:ascii="Times New Roman"/>
          <w:b w:val="false"/>
          <w:i w:val="false"/>
          <w:color w:val="000000"/>
          <w:sz w:val="28"/>
        </w:rPr>
        <w:t>
      1) дату принятия и номер инвестиционного решения;
</w:t>
      </w:r>
      <w:r>
        <w:br/>
      </w:r>
      <w:r>
        <w:rPr>
          <w:rFonts w:ascii="Times New Roman"/>
          <w:b w:val="false"/>
          <w:i w:val="false"/>
          <w:color w:val="000000"/>
          <w:sz w:val="28"/>
        </w:rPr>
        <w:t>
      2) дату выдачи и номер рекомендации, на основании которой было принято инвестиционное решение;
</w:t>
      </w:r>
      <w:r>
        <w:br/>
      </w:r>
      <w:r>
        <w:rPr>
          <w:rFonts w:ascii="Times New Roman"/>
          <w:b w:val="false"/>
          <w:i w:val="false"/>
          <w:color w:val="000000"/>
          <w:sz w:val="28"/>
        </w:rPr>
        <w:t>
      3) вид сделки, подлежащей совершению;
</w:t>
      </w:r>
      <w:r>
        <w:br/>
      </w:r>
      <w:r>
        <w:rPr>
          <w:rFonts w:ascii="Times New Roman"/>
          <w:b w:val="false"/>
          <w:i w:val="false"/>
          <w:color w:val="000000"/>
          <w:sz w:val="28"/>
        </w:rPr>
        <w:t>
      4) идентификатор финансового инструмента, по которому должна быть совершена сделка;
</w:t>
      </w:r>
      <w:r>
        <w:br/>
      </w:r>
      <w:r>
        <w:rPr>
          <w:rFonts w:ascii="Times New Roman"/>
          <w:b w:val="false"/>
          <w:i w:val="false"/>
          <w:color w:val="000000"/>
          <w:sz w:val="28"/>
        </w:rPr>
        <w:t>
      5) объем, цену и сумму (диапазон объема, цены и суммы) сделки, подлежащей совершению;
</w:t>
      </w:r>
      <w:r>
        <w:br/>
      </w:r>
      <w:r>
        <w:rPr>
          <w:rFonts w:ascii="Times New Roman"/>
          <w:b w:val="false"/>
          <w:i w:val="false"/>
          <w:color w:val="000000"/>
          <w:sz w:val="28"/>
        </w:rPr>
        <w:t>
      6) сроки совершения сделки;
</w:t>
      </w:r>
      <w:r>
        <w:br/>
      </w:r>
      <w:r>
        <w:rPr>
          <w:rFonts w:ascii="Times New Roman"/>
          <w:b w:val="false"/>
          <w:i w:val="false"/>
          <w:color w:val="000000"/>
          <w:sz w:val="28"/>
        </w:rPr>
        <w:t>
      7) указание на тип рынка (первичный или вторичный), на котором предполагается совершение сделки;
</w:t>
      </w:r>
      <w:r>
        <w:br/>
      </w:r>
      <w:r>
        <w:rPr>
          <w:rFonts w:ascii="Times New Roman"/>
          <w:b w:val="false"/>
          <w:i w:val="false"/>
          <w:color w:val="000000"/>
          <w:sz w:val="28"/>
        </w:rPr>
        <w:t>
      8) наименование посредника (брокера), с помощью которого предполагается совершение сделки (при наличии такового); 
</w:t>
      </w:r>
      <w:r>
        <w:br/>
      </w:r>
      <w:r>
        <w:rPr>
          <w:rFonts w:ascii="Times New Roman"/>
          <w:b w:val="false"/>
          <w:i w:val="false"/>
          <w:color w:val="000000"/>
          <w:sz w:val="28"/>
        </w:rPr>
        <w:t>
      9) наименование фонда, за счет пенсионных активов которого предполагается совершение сделки;
</w:t>
      </w:r>
      <w:r>
        <w:br/>
      </w:r>
      <w:r>
        <w:rPr>
          <w:rFonts w:ascii="Times New Roman"/>
          <w:b w:val="false"/>
          <w:i w:val="false"/>
          <w:color w:val="000000"/>
          <w:sz w:val="28"/>
        </w:rPr>
        <w:t>
      10) подписи лиц, принявших инвестиционное решение.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19. Порядок совершения сделок с участием пенсионных активов и осуществления контроля за их совершением должен содержать:
</w:t>
      </w:r>
      <w:r>
        <w:br/>
      </w:r>
      <w:r>
        <w:rPr>
          <w:rFonts w:ascii="Times New Roman"/>
          <w:b w:val="false"/>
          <w:i w:val="false"/>
          <w:color w:val="000000"/>
          <w:sz w:val="28"/>
        </w:rPr>
        <w:t>
      1) порядок взаимодействия с посредником (брокером), с помощью которого предполагается совершение сделки (при наличии такового) с участием пенсионных активов;
</w:t>
      </w:r>
      <w:r>
        <w:br/>
      </w:r>
      <w:r>
        <w:rPr>
          <w:rFonts w:ascii="Times New Roman"/>
          <w:b w:val="false"/>
          <w:i w:val="false"/>
          <w:color w:val="000000"/>
          <w:sz w:val="28"/>
        </w:rPr>
        <w:t>
      2) перечень должностных лиц, осуществляющих контроль за совершением сделок с участием пенсионных активов;
</w:t>
      </w:r>
      <w:r>
        <w:br/>
      </w:r>
      <w:r>
        <w:rPr>
          <w:rFonts w:ascii="Times New Roman"/>
          <w:b w:val="false"/>
          <w:i w:val="false"/>
          <w:color w:val="000000"/>
          <w:sz w:val="28"/>
        </w:rPr>
        <w:t>
      3) порядок осуществления контроля за совершением сделок с участием пенсионных активов;
</w:t>
      </w:r>
      <w:r>
        <w:br/>
      </w:r>
      <w:r>
        <w:rPr>
          <w:rFonts w:ascii="Times New Roman"/>
          <w:b w:val="false"/>
          <w:i w:val="false"/>
          <w:color w:val="000000"/>
          <w:sz w:val="28"/>
        </w:rPr>
        <w:t>
      4) порядок осуществления сверок с банками-кастодианами и фондами;
</w:t>
      </w:r>
      <w:r>
        <w:br/>
      </w:r>
      <w:r>
        <w:rPr>
          <w:rFonts w:ascii="Times New Roman"/>
          <w:b w:val="false"/>
          <w:i w:val="false"/>
          <w:color w:val="000000"/>
          <w:sz w:val="28"/>
        </w:rPr>
        <w:t>
      5) порядок и периодичность проведения структурным подразделением, осуществляющим внутренний аудит, проверок правильности совершения сделок с участием пенсионных активов и осуществления сверок с банками-кастодианами и фондами;
</w:t>
      </w:r>
      <w:r>
        <w:br/>
      </w:r>
      <w:r>
        <w:rPr>
          <w:rFonts w:ascii="Times New Roman"/>
          <w:b w:val="false"/>
          <w:i w:val="false"/>
          <w:color w:val="000000"/>
          <w:sz w:val="28"/>
        </w:rPr>
        <w:t>
      6) порядок ведения внутреннего учета и документооборота.
</w:t>
      </w:r>
    </w:p>
    <w:p>
      <w:pPr>
        <w:spacing w:after="0"/>
        <w:ind w:left="0"/>
        <w:jc w:val="both"/>
      </w:pPr>
      <w:r>
        <w:rPr>
          <w:rFonts w:ascii="Times New Roman"/>
          <w:b w:val="false"/>
          <w:i w:val="false"/>
          <w:color w:val="000000"/>
          <w:sz w:val="28"/>
        </w:rPr>
        <w:t>
</w:t>
      </w:r>
      <w:r>
        <w:rPr>
          <w:rFonts w:ascii="Times New Roman"/>
          <w:b w:val="false"/>
          <w:i w:val="false"/>
          <w:color w:val="000000"/>
          <w:sz w:val="28"/>
        </w:rPr>
        <w:t>
      20. Для осуществления контроля за совершением сделок с участием пенсионных активов подлежат заполнению:
</w:t>
      </w:r>
      <w:r>
        <w:br/>
      </w:r>
      <w:r>
        <w:rPr>
          <w:rFonts w:ascii="Times New Roman"/>
          <w:b w:val="false"/>
          <w:i w:val="false"/>
          <w:color w:val="000000"/>
          <w:sz w:val="28"/>
        </w:rPr>
        <w:t>
      журнал учета заказов на заключение сделок;
</w:t>
      </w:r>
      <w:r>
        <w:br/>
      </w:r>
      <w:r>
        <w:rPr>
          <w:rFonts w:ascii="Times New Roman"/>
          <w:b w:val="false"/>
          <w:i w:val="false"/>
          <w:color w:val="000000"/>
          <w:sz w:val="28"/>
        </w:rPr>
        <w:t>
      журнал учета исполненных и неисполненных сделок;
</w:t>
      </w:r>
      <w:r>
        <w:br/>
      </w:r>
      <w:r>
        <w:rPr>
          <w:rFonts w:ascii="Times New Roman"/>
          <w:b w:val="false"/>
          <w:i w:val="false"/>
          <w:color w:val="000000"/>
          <w:sz w:val="28"/>
        </w:rPr>
        <w:t>
      журнал учета договоров банковского вклада;
</w:t>
      </w:r>
      <w:r>
        <w:br/>
      </w:r>
      <w:r>
        <w:rPr>
          <w:rFonts w:ascii="Times New Roman"/>
          <w:b w:val="false"/>
          <w:i w:val="false"/>
          <w:color w:val="000000"/>
          <w:sz w:val="28"/>
        </w:rPr>
        <w:t>
      журнал регистрации приказов банкам-кастодианам;
</w:t>
      </w:r>
      <w:r>
        <w:br/>
      </w:r>
      <w:r>
        <w:rPr>
          <w:rFonts w:ascii="Times New Roman"/>
          <w:b w:val="false"/>
          <w:i w:val="false"/>
          <w:color w:val="000000"/>
          <w:sz w:val="28"/>
        </w:rPr>
        <w:t>
      журнал регистрации актов сверок с банками-кастодианами и фондами.
</w:t>
      </w:r>
      <w:r>
        <w:br/>
      </w:r>
      <w:r>
        <w:rPr>
          <w:rFonts w:ascii="Times New Roman"/>
          <w:b w:val="false"/>
          <w:i w:val="false"/>
          <w:color w:val="000000"/>
          <w:sz w:val="28"/>
        </w:rPr>
        <w:t>
      Помимо указанных журналов Организация (Фонд) может вести другие дополнительные журналы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21. Порядок внутреннего контроля за обеспечением целостности данных и конфиденциальностью информации должен содержать:
</w:t>
      </w:r>
      <w:r>
        <w:br/>
      </w:r>
      <w:r>
        <w:rPr>
          <w:rFonts w:ascii="Times New Roman"/>
          <w:b w:val="false"/>
          <w:i w:val="false"/>
          <w:color w:val="000000"/>
          <w:sz w:val="28"/>
        </w:rPr>
        <w:t>
      1) перечень информации, относящейся к категории конфиденциальной;
</w:t>
      </w:r>
      <w:r>
        <w:br/>
      </w:r>
      <w:r>
        <w:rPr>
          <w:rFonts w:ascii="Times New Roman"/>
          <w:b w:val="false"/>
          <w:i w:val="false"/>
          <w:color w:val="000000"/>
          <w:sz w:val="28"/>
        </w:rPr>
        <w:t>
      2) порядок составления, оформления, регистрации, учета и хранения документов, содержащих конфиденциальную информацию;
</w:t>
      </w:r>
      <w:r>
        <w:br/>
      </w:r>
      <w:r>
        <w:rPr>
          <w:rFonts w:ascii="Times New Roman"/>
          <w:b w:val="false"/>
          <w:i w:val="false"/>
          <w:color w:val="000000"/>
          <w:sz w:val="28"/>
        </w:rPr>
        <w:t>
      3) порядок допуска к конфиденциальной информации, с указанием должностей, занимающие которые лица допускаются к конфиденциальной информации;
</w:t>
      </w:r>
      <w:r>
        <w:br/>
      </w:r>
      <w:r>
        <w:rPr>
          <w:rFonts w:ascii="Times New Roman"/>
          <w:b w:val="false"/>
          <w:i w:val="false"/>
          <w:color w:val="000000"/>
          <w:sz w:val="28"/>
        </w:rPr>
        <w:t>
      4) порядок обеспечения сохранности электронных массивов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22. Организация (Фонд) может использовать инструменты хеджирования, указанные в 
</w:t>
      </w:r>
      <w:r>
        <w:rPr>
          <w:rFonts w:ascii="Times New Roman"/>
          <w:b w:val="false"/>
          <w:i w:val="false"/>
          <w:color w:val="000000"/>
          <w:sz w:val="28"/>
        </w:rPr>
        <w:t xml:space="preserve"> Приложении 2 </w:t>
      </w:r>
      <w:r>
        <w:rPr>
          <w:rFonts w:ascii="Times New Roman"/>
          <w:b w:val="false"/>
          <w:i w:val="false"/>
          <w:color w:val="000000"/>
          <w:sz w:val="28"/>
        </w:rPr>
        <w:t>
 к настоящим Правилам. Предел использования инструмента хеджирования не должен превышать установленного в 
</w:t>
      </w:r>
      <w:r>
        <w:rPr>
          <w:rFonts w:ascii="Times New Roman"/>
          <w:b w:val="false"/>
          <w:i w:val="false"/>
          <w:color w:val="000000"/>
          <w:sz w:val="28"/>
        </w:rPr>
        <w:t xml:space="preserve"> Приложении 2 </w:t>
      </w:r>
      <w:r>
        <w:rPr>
          <w:rFonts w:ascii="Times New Roman"/>
          <w:b w:val="false"/>
          <w:i w:val="false"/>
          <w:color w:val="000000"/>
          <w:sz w:val="28"/>
        </w:rPr>
        <w:t>
 значения от размера инвестиций в объект хеджирования (базовый актив), установленного в 
</w:t>
      </w:r>
      <w:r>
        <w:rPr>
          <w:rFonts w:ascii="Times New Roman"/>
          <w:b w:val="false"/>
          <w:i w:val="false"/>
          <w:color w:val="000000"/>
          <w:sz w:val="28"/>
        </w:rPr>
        <w:t xml:space="preserve"> Приложении 1 </w:t>
      </w:r>
      <w:r>
        <w:rPr>
          <w:rFonts w:ascii="Times New Roman"/>
          <w:b w:val="false"/>
          <w:i w:val="false"/>
          <w:color w:val="000000"/>
          <w:sz w:val="28"/>
        </w:rPr>
        <w:t>
 к настоящим Правилам, с учетом требования, установленного 
</w:t>
      </w:r>
      <w:r>
        <w:rPr>
          <w:rFonts w:ascii="Times New Roman"/>
          <w:b w:val="false"/>
          <w:i w:val="false"/>
          <w:color w:val="000000"/>
          <w:sz w:val="28"/>
        </w:rPr>
        <w:t xml:space="preserve"> пунктом 23 </w:t>
      </w:r>
      <w:r>
        <w:rPr>
          <w:rFonts w:ascii="Times New Roman"/>
          <w:b w:val="false"/>
          <w:i w:val="false"/>
          <w:color w:val="000000"/>
          <w:sz w:val="28"/>
        </w:rPr>
        <w:t>
 настоящих Правил.
</w:t>
      </w:r>
      <w:r>
        <w:br/>
      </w:r>
      <w:r>
        <w:rPr>
          <w:rFonts w:ascii="Times New Roman"/>
          <w:b w:val="false"/>
          <w:i w:val="false"/>
          <w:color w:val="000000"/>
          <w:sz w:val="28"/>
        </w:rPr>
        <w:t>
      Для целей настоящих Правил под инструментом хеджирования понимаются финансовые инструменты, используемые для осуществления операций хеджирования, указанные в 
</w:t>
      </w:r>
      <w:r>
        <w:rPr>
          <w:rFonts w:ascii="Times New Roman"/>
          <w:b w:val="false"/>
          <w:i w:val="false"/>
          <w:color w:val="000000"/>
          <w:sz w:val="28"/>
        </w:rPr>
        <w:t xml:space="preserve"> Приложении 2 </w:t>
      </w:r>
      <w:r>
        <w:rPr>
          <w:rFonts w:ascii="Times New Roman"/>
          <w:b w:val="false"/>
          <w:i w:val="false"/>
          <w:color w:val="000000"/>
          <w:sz w:val="28"/>
        </w:rPr>
        <w:t>
 к настоящим Правилам.
</w:t>
      </w:r>
      <w:r>
        <w:br/>
      </w:r>
      <w:r>
        <w:rPr>
          <w:rFonts w:ascii="Times New Roman"/>
          <w:b w:val="false"/>
          <w:i w:val="false"/>
          <w:color w:val="000000"/>
          <w:sz w:val="28"/>
        </w:rPr>
        <w:t>
      Под объектом хеджирования (базовый актив) понимаются финансовые инструменты, разрешенные к приобретению за счет пенсионных активов в размере, установленном настоящими Правилами.
</w:t>
      </w:r>
      <w:r>
        <w:br/>
      </w:r>
      <w:r>
        <w:rPr>
          <w:rFonts w:ascii="Times New Roman"/>
          <w:b w:val="false"/>
          <w:i w:val="false"/>
          <w:color w:val="000000"/>
          <w:sz w:val="28"/>
        </w:rPr>
        <w:t>
      Под хеджированием понимается использование одного или нескольких инструментов хеджирования для частичной или полной компенсации изменения справедливой стоимости объекта хеджирования, находящегося в инвестиционном портфеле накопительного пенсионного фонда, или связанных с ним поступлений денег, определенное в соответствии со стандартами бухгалтерского учета.
</w:t>
      </w:r>
      <w:r>
        <w:br/>
      </w:r>
      <w:r>
        <w:rPr>
          <w:rFonts w:ascii="Times New Roman"/>
          <w:b w:val="false"/>
          <w:i w:val="false"/>
          <w:color w:val="000000"/>
          <w:sz w:val="28"/>
        </w:rPr>
        <w:t>
      Решение об осуществлении операций хеджирования принимается коллегиальным органом, уполномоченным на принятие инвестиционных решений. Данное решение должно содержать следующую информацию:
</w:t>
      </w:r>
      <w:r>
        <w:br/>
      </w:r>
      <w:r>
        <w:rPr>
          <w:rFonts w:ascii="Times New Roman"/>
          <w:b w:val="false"/>
          <w:i w:val="false"/>
          <w:color w:val="000000"/>
          <w:sz w:val="28"/>
        </w:rPr>
        <w:t>
      1) номер решения, дату принятия;
</w:t>
      </w:r>
      <w:r>
        <w:br/>
      </w:r>
      <w:r>
        <w:rPr>
          <w:rFonts w:ascii="Times New Roman"/>
          <w:b w:val="false"/>
          <w:i w:val="false"/>
          <w:color w:val="000000"/>
          <w:sz w:val="28"/>
        </w:rPr>
        <w:t>
      2) дату выдачи и номер рекомендации, на основании которой было принято инвестиционное решение;
</w:t>
      </w:r>
      <w:r>
        <w:br/>
      </w:r>
      <w:r>
        <w:rPr>
          <w:rFonts w:ascii="Times New Roman"/>
          <w:b w:val="false"/>
          <w:i w:val="false"/>
          <w:color w:val="000000"/>
          <w:sz w:val="28"/>
        </w:rPr>
        <w:t>
      3) подробное описание инструмента хеджирования с указанием вида, срока его заключения, объема, стоимости (премии), рынка, на котором планируется совершение операции хеджирования, и других характеристик (условий) данного инструмента;
</w:t>
      </w:r>
      <w:r>
        <w:br/>
      </w:r>
      <w:r>
        <w:rPr>
          <w:rFonts w:ascii="Times New Roman"/>
          <w:b w:val="false"/>
          <w:i w:val="false"/>
          <w:color w:val="000000"/>
          <w:sz w:val="28"/>
        </w:rPr>
        <w:t>
      4) ожидаемые результаты от применения данного инструмента хеджирования;
</w:t>
      </w:r>
      <w:r>
        <w:br/>
      </w:r>
      <w:r>
        <w:rPr>
          <w:rFonts w:ascii="Times New Roman"/>
          <w:b w:val="false"/>
          <w:i w:val="false"/>
          <w:color w:val="000000"/>
          <w:sz w:val="28"/>
        </w:rPr>
        <w:t>
      5) оценку риска объекта хеджирования (базисного актива) с указанием его вида (процентный, ценовой, валютный и прочее), а также метода его оценки;
</w:t>
      </w:r>
      <w:r>
        <w:br/>
      </w:r>
      <w:r>
        <w:rPr>
          <w:rFonts w:ascii="Times New Roman"/>
          <w:b w:val="false"/>
          <w:i w:val="false"/>
          <w:color w:val="000000"/>
          <w:sz w:val="28"/>
        </w:rPr>
        <w:t>
      6) объект хеджирования с указанием необходимых реквизитов (национальный идентификационный номер, количество, стоимость, объем, валюта), а также наименования фонда, за счет пенсионных активов которого приобретен данный объект хеджирования;
</w:t>
      </w:r>
      <w:r>
        <w:br/>
      </w:r>
      <w:r>
        <w:rPr>
          <w:rFonts w:ascii="Times New Roman"/>
          <w:b w:val="false"/>
          <w:i w:val="false"/>
          <w:color w:val="000000"/>
          <w:sz w:val="28"/>
        </w:rPr>
        <w:t>
      7) результаты анализа информации, использованной для принятия решения об осуществлении операции хеджирования;
</w:t>
      </w:r>
      <w:r>
        <w:br/>
      </w:r>
      <w:r>
        <w:rPr>
          <w:rFonts w:ascii="Times New Roman"/>
          <w:b w:val="false"/>
          <w:i w:val="false"/>
          <w:color w:val="000000"/>
          <w:sz w:val="28"/>
        </w:rPr>
        <w:t>
      8) подписи лиц, принявших инвестиционное решение.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23. В случае, если для хеджирования одного объекта хеджирования планируется применение нескольких инструментов хеджирования, то в решении указывается каждый вид инструмента хеджирования. При использовании нескольких инструментов хеджирования совокупный предел их использования не должен превышать значения от размера инвестиций в объект хеджирования, установленного в отношении каждого инструмента хеджирования.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24. Все решения, принятые по операциям хеджирования, хранятся в Организации (Фонде) путем отражения в журнале учета инвестиционных 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25. После завершения операции хеджирования в соответствующем решении делается отметка о ее завершении и указывается фактический результат от использования данного вида инструмента хеджирования.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26. В случае, если в процессе операции хеджирования существует необходимость изменения вида, срока и других характеристик инструмента хеджирования, то данные меры указываются в соответствующем решении об осуществлении операций хеджирования с указанием сведений, указанных в подпунктах 3), 4), 5) и 7), 8) 
</w:t>
      </w:r>
      <w:r>
        <w:rPr>
          <w:rFonts w:ascii="Times New Roman"/>
          <w:b w:val="false"/>
          <w:i w:val="false"/>
          <w:color w:val="000000"/>
          <w:sz w:val="28"/>
        </w:rPr>
        <w:t xml:space="preserve"> пункта 22 </w:t>
      </w:r>
      <w:r>
        <w:rPr>
          <w:rFonts w:ascii="Times New Roman"/>
          <w:b w:val="false"/>
          <w:i w:val="false"/>
          <w:color w:val="000000"/>
          <w:sz w:val="28"/>
        </w:rPr>
        <w:t>
 настоящих Правил с указанием даты внесения изменения.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27. Учет и отражение операций хеджирования, а также дохода и убытка по ним, в финансовой отчетности Организации (Фонда) осуществляется в соответствии с международными стандартами финансовой отчетности.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28. В целях подтверждения того, что данная операция относится к операции хеджирования, Организацией (Фондом) к каждому решению об осуществлении операции хеджирования составляется соответствующий расчет, подтверждающий, что совершение данных операций приводит к снижению размера возможных убытков (недополучения дохода) по объекту хеджирования.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29. Организация (Фонд) в процессе своей деятельности обеспечивает наличие системы управления рисками в Организации (Фонде).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30. Наличие системы управления рисками в Организации (Фонде) предусматривает соответствие требованиям, установленным настоящими Правилами к корпоративному управлению, практики проведения операций с финансовыми инструментами, функционированию информационных систем и систем управленческой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31. Организация системы управления рисками и внутреннего контроля обеспечивается соответствием Организации (Фонда) требованиям, указанным в 
</w:t>
      </w:r>
      <w:r>
        <w:rPr>
          <w:rFonts w:ascii="Times New Roman"/>
          <w:b w:val="false"/>
          <w:i w:val="false"/>
          <w:color w:val="000000"/>
          <w:sz w:val="28"/>
        </w:rPr>
        <w:t xml:space="preserve"> Приложении 3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32. В рамках систем управления рисками, наличие практики проведения операций с финансовыми инструментами обеспечивается соответствием Организации (Фонда) требованиям, указанным в 
</w:t>
      </w:r>
      <w:r>
        <w:rPr>
          <w:rFonts w:ascii="Times New Roman"/>
          <w:b w:val="false"/>
          <w:i w:val="false"/>
          <w:color w:val="000000"/>
          <w:sz w:val="28"/>
        </w:rPr>
        <w:t xml:space="preserve"> Приложении 4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33. В рамках систем управления рисками наличие обеспечения операционной деятельности Организации (Фонда), функционирования информационных систем и систем управленческой информации допускается при соответствии Организации (Фонда) требованиям, указанным в 
</w:t>
      </w:r>
      <w:r>
        <w:rPr>
          <w:rFonts w:ascii="Times New Roman"/>
          <w:b w:val="false"/>
          <w:i w:val="false"/>
          <w:color w:val="000000"/>
          <w:sz w:val="28"/>
        </w:rPr>
        <w:t xml:space="preserve"> Приложении 5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34. Организация (Фонд) ежегодно, не позднее 1 июля года, следующего за отчетным, представляет в уполномоченный орган подготовленный им отчет по оценке выполнения требований, указанных в 
</w:t>
      </w:r>
      <w:r>
        <w:rPr>
          <w:rFonts w:ascii="Times New Roman"/>
          <w:b w:val="false"/>
          <w:i w:val="false"/>
          <w:color w:val="000000"/>
          <w:sz w:val="28"/>
        </w:rPr>
        <w:t xml:space="preserve"> приложениях 3-5 </w:t>
      </w:r>
      <w:r>
        <w:rPr>
          <w:rFonts w:ascii="Times New Roman"/>
          <w:b w:val="false"/>
          <w:i w:val="false"/>
          <w:color w:val="000000"/>
          <w:sz w:val="28"/>
        </w:rPr>
        <w:t>
 к настоящим Правилам. Данный отчет должен содержать:
</w:t>
      </w:r>
      <w:r>
        <w:br/>
      </w:r>
      <w:r>
        <w:rPr>
          <w:rFonts w:ascii="Times New Roman"/>
          <w:b w:val="false"/>
          <w:i w:val="false"/>
          <w:color w:val="000000"/>
          <w:sz w:val="28"/>
        </w:rPr>
        <w:t>
      1) полный перечень требований и критериев требований к наличию систем управления рисками и внутреннего контроля;
</w:t>
      </w:r>
      <w:r>
        <w:br/>
      </w:r>
      <w:r>
        <w:rPr>
          <w:rFonts w:ascii="Times New Roman"/>
          <w:b w:val="false"/>
          <w:i w:val="false"/>
          <w:color w:val="000000"/>
          <w:sz w:val="28"/>
        </w:rPr>
        <w:t>
      2) оценку по соответствию Организации (Фонда) каждому требованию и критерию требования к наличию систем управления рисками и внутреннего контроля, в том числе подробно определяющую соответствие Организации (Фонда) указанным требованиям;
</w:t>
      </w:r>
      <w:r>
        <w:br/>
      </w:r>
      <w:r>
        <w:rPr>
          <w:rFonts w:ascii="Times New Roman"/>
          <w:b w:val="false"/>
          <w:i w:val="false"/>
          <w:color w:val="000000"/>
          <w:sz w:val="28"/>
        </w:rPr>
        <w:t>
      3) недостатки в системе управления рисками Организации (Фонда), в том числе по требованиям и критериям требований к наличию систем управления рисками и внутреннего контроля;
</w:t>
      </w:r>
      <w:r>
        <w:br/>
      </w:r>
      <w:r>
        <w:rPr>
          <w:rFonts w:ascii="Times New Roman"/>
          <w:b w:val="false"/>
          <w:i w:val="false"/>
          <w:color w:val="000000"/>
          <w:sz w:val="28"/>
        </w:rPr>
        <w:t>
      4) необходимые мероприятия по устранению недостатков в системе управления рисками и внутреннего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35. Базовые критерии требований, обязательные для выполнения Организациями (Фондами), определены в 
</w:t>
      </w:r>
      <w:r>
        <w:rPr>
          <w:rFonts w:ascii="Times New Roman"/>
          <w:b w:val="false"/>
          <w:i w:val="false"/>
          <w:color w:val="000000"/>
          <w:sz w:val="28"/>
        </w:rPr>
        <w:t xml:space="preserve"> Приложении 6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36. Дополнительные критерии требований, обязательные для выполнения Организациями (Фондами), определены в 
</w:t>
      </w:r>
      <w:r>
        <w:rPr>
          <w:rFonts w:ascii="Times New Roman"/>
          <w:b w:val="false"/>
          <w:i w:val="false"/>
          <w:color w:val="000000"/>
          <w:sz w:val="28"/>
        </w:rPr>
        <w:t xml:space="preserve"> Приложении 7 </w:t>
      </w:r>
      <w:r>
        <w:rPr>
          <w:rFonts w:ascii="Times New Roman"/>
          <w:b w:val="false"/>
          <w:i w:val="false"/>
          <w:color w:val="000000"/>
          <w:sz w:val="28"/>
        </w:rPr>
        <w:t>
 к настоящим Правилам.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осуществления деятельности   
</w:t>
      </w:r>
      <w:r>
        <w:br/>
      </w:r>
      <w:r>
        <w:rPr>
          <w:rFonts w:ascii="Times New Roman"/>
          <w:b w:val="false"/>
          <w:i w:val="false"/>
          <w:color w:val="000000"/>
          <w:sz w:val="28"/>
        </w:rPr>
        <w:t>
                           по инвестиционному управлению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финансовых инструментов, разрешенных 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приобретению за счет пенсионных активов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Перечень финансовых инструментов, в которые Организация (Фонд) могут размещать находящиеся в инвестиционном управлении пенсионные активы каждого отдельного Фонда от общего объема пенсионных активов и требования, предъявляемые к ним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7910"/>
        <w:gridCol w:w="4258"/>
      </w:tblGrid>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финансового инструмента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Размер инвестиций
</w:t>
            </w:r>
          </w:p>
        </w:tc>
      </w:tr>
      <w:tr>
        <w:trPr>
          <w:trHeight w:val="246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бумаги 
</w:t>
            </w:r>
            <w:r>
              <w:br/>
            </w:r>
            <w:r>
              <w:rPr>
                <w:rFonts w:ascii="Times New Roman"/>
                <w:b w:val="false"/>
                <w:i w:val="false"/>
                <w:color w:val="000000"/>
                <w:sz w:val="20"/>
              </w:rPr>
              <w:t>
Республики Казахстан (включая 
</w:t>
            </w:r>
            <w:r>
              <w:br/>
            </w:r>
            <w:r>
              <w:rPr>
                <w:rFonts w:ascii="Times New Roman"/>
                <w:b w:val="false"/>
                <w:i w:val="false"/>
                <w:color w:val="000000"/>
                <w:sz w:val="20"/>
              </w:rPr>
              <w:t>
эмитированные в соответствии с 
</w:t>
            </w:r>
            <w:r>
              <w:br/>
            </w:r>
            <w:r>
              <w:rPr>
                <w:rFonts w:ascii="Times New Roman"/>
                <w:b w:val="false"/>
                <w:i w:val="false"/>
                <w:color w:val="000000"/>
                <w:sz w:val="20"/>
              </w:rPr>
              <w:t>
законодательством других 
</w:t>
            </w:r>
            <w:r>
              <w:br/>
            </w:r>
            <w:r>
              <w:rPr>
                <w:rFonts w:ascii="Times New Roman"/>
                <w:b w:val="false"/>
                <w:i w:val="false"/>
                <w:color w:val="000000"/>
                <w:sz w:val="20"/>
              </w:rPr>
              <w:t>
государств), за исключением ценных бумаг, выпущенных местными 
</w:t>
            </w:r>
            <w:r>
              <w:br/>
            </w:r>
            <w:r>
              <w:rPr>
                <w:rFonts w:ascii="Times New Roman"/>
                <w:b w:val="false"/>
                <w:i w:val="false"/>
                <w:color w:val="000000"/>
                <w:sz w:val="20"/>
              </w:rPr>
              <w:t>
исполнительными органами Республики
</w:t>
            </w:r>
            <w:r>
              <w:br/>
            </w:r>
            <w:r>
              <w:rPr>
                <w:rFonts w:ascii="Times New Roman"/>
                <w:b w:val="false"/>
                <w:i w:val="false"/>
                <w:color w:val="000000"/>
                <w:sz w:val="20"/>
              </w:rPr>
              <w:t>
Казахстан, а также ценные бумаги, выпущенные под гарантию государства и вклады в Национальном Банке Республики Казахстан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менее 15%
</w:t>
            </w:r>
          </w:p>
        </w:tc>
      </w:tr>
      <w:tr>
        <w:trPr>
          <w:trHeight w:val="2595"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бумаги 
</w:t>
            </w:r>
            <w:r>
              <w:br/>
            </w:r>
            <w:r>
              <w:rPr>
                <w:rFonts w:ascii="Times New Roman"/>
                <w:b w:val="false"/>
                <w:i w:val="false"/>
                <w:color w:val="000000"/>
                <w:sz w:val="20"/>
              </w:rPr>
              <w:t>
Республики Казахстан, выпущенные 
</w:t>
            </w:r>
            <w:r>
              <w:br/>
            </w:r>
            <w:r>
              <w:rPr>
                <w:rFonts w:ascii="Times New Roman"/>
                <w:b w:val="false"/>
                <w:i w:val="false"/>
                <w:color w:val="000000"/>
                <w:sz w:val="20"/>
              </w:rPr>
              <w:t>
местными исполнительными органами 
</w:t>
            </w:r>
            <w:r>
              <w:br/>
            </w:r>
            <w:r>
              <w:rPr>
                <w:rFonts w:ascii="Times New Roman"/>
                <w:b w:val="false"/>
                <w:i w:val="false"/>
                <w:color w:val="000000"/>
                <w:sz w:val="20"/>
              </w:rPr>
              <w:t>
(в том числе эмитированные в 
</w:t>
            </w:r>
            <w:r>
              <w:br/>
            </w:r>
            <w:r>
              <w:rPr>
                <w:rFonts w:ascii="Times New Roman"/>
                <w:b w:val="false"/>
                <w:i w:val="false"/>
                <w:color w:val="000000"/>
                <w:sz w:val="20"/>
              </w:rPr>
              <w:t>
соответствии с законодательством 
</w:t>
            </w:r>
            <w:r>
              <w:br/>
            </w:r>
            <w:r>
              <w:rPr>
                <w:rFonts w:ascii="Times New Roman"/>
                <w:b w:val="false"/>
                <w:i w:val="false"/>
                <w:color w:val="000000"/>
                <w:sz w:val="20"/>
              </w:rPr>
              <w:t>
других 
</w:t>
            </w:r>
            <w:r>
              <w:br/>
            </w:r>
            <w:r>
              <w:rPr>
                <w:rFonts w:ascii="Times New Roman"/>
                <w:b w:val="false"/>
                <w:i w:val="false"/>
                <w:color w:val="000000"/>
                <w:sz w:val="20"/>
              </w:rPr>
              <w:t>
государств), при условии, что 
</w:t>
            </w:r>
            <w:r>
              <w:br/>
            </w:r>
            <w:r>
              <w:rPr>
                <w:rFonts w:ascii="Times New Roman"/>
                <w:b w:val="false"/>
                <w:i w:val="false"/>
                <w:color w:val="000000"/>
                <w:sz w:val="20"/>
              </w:rPr>
              <w:t>
данные ценные бумаги допущены к
</w:t>
            </w:r>
            <w:r>
              <w:br/>
            </w:r>
            <w:r>
              <w:rPr>
                <w:rFonts w:ascii="Times New Roman"/>
                <w:b w:val="false"/>
                <w:i w:val="false"/>
                <w:color w:val="000000"/>
                <w:sz w:val="20"/>
              </w:rPr>
              <w:t>
обращению в торговых системах 
</w:t>
            </w:r>
            <w:r>
              <w:br/>
            </w:r>
            <w:r>
              <w:rPr>
                <w:rFonts w:ascii="Times New Roman"/>
                <w:b w:val="false"/>
                <w:i w:val="false"/>
                <w:color w:val="000000"/>
                <w:sz w:val="20"/>
              </w:rPr>
              <w:t>
организатора торгов и разрешены 
</w:t>
            </w:r>
            <w:r>
              <w:br/>
            </w:r>
            <w:r>
              <w:rPr>
                <w:rFonts w:ascii="Times New Roman"/>
                <w:b w:val="false"/>
                <w:i w:val="false"/>
                <w:color w:val="000000"/>
                <w:sz w:val="20"/>
              </w:rPr>
              <w:t>
уполномоченным органом к
</w:t>
            </w:r>
            <w:r>
              <w:br/>
            </w:r>
            <w:r>
              <w:rPr>
                <w:rFonts w:ascii="Times New Roman"/>
                <w:b w:val="false"/>
                <w:i w:val="false"/>
                <w:color w:val="000000"/>
                <w:sz w:val="20"/>
              </w:rPr>
              <w:t>
приобретению за счет 
</w:t>
            </w:r>
            <w:r>
              <w:br/>
            </w:r>
            <w:r>
              <w:rPr>
                <w:rFonts w:ascii="Times New Roman"/>
                <w:b w:val="false"/>
                <w:i w:val="false"/>
                <w:color w:val="000000"/>
                <w:sz w:val="20"/>
              </w:rPr>
              <w:t>
пенсионных активов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5%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 вклады в банках второго уровня, определенных в соответствии с 
</w:t>
            </w:r>
            <w:r>
              <w:br/>
            </w:r>
            <w:r>
              <w:rPr>
                <w:rFonts w:ascii="Times New Roman"/>
                <w:b w:val="false"/>
                <w:i w:val="false"/>
                <w:color w:val="000000"/>
                <w:sz w:val="20"/>
              </w:rPr>
              <w:t>
условиями пункта 3 настоящего 
</w:t>
            </w:r>
            <w:r>
              <w:br/>
            </w:r>
            <w:r>
              <w:rPr>
                <w:rFonts w:ascii="Times New Roman"/>
                <w:b w:val="false"/>
                <w:i w:val="false"/>
                <w:color w:val="000000"/>
                <w:sz w:val="20"/>
              </w:rPr>
              <w:t>
Приложения (с ограничениями, установленными 
</w:t>
            </w:r>
            <w:r>
              <w:br/>
            </w:r>
            <w:r>
              <w:rPr>
                <w:rFonts w:ascii="Times New Roman"/>
                <w:b w:val="false"/>
                <w:i w:val="false"/>
                <w:color w:val="000000"/>
                <w:sz w:val="20"/>
              </w:rPr>
              <w:t>
пунктами 7 и 8  Правил)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20%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w:t>
            </w:r>
            <w:r>
              <w:br/>
            </w:r>
            <w:r>
              <w:rPr>
                <w:rFonts w:ascii="Times New Roman"/>
                <w:b w:val="false"/>
                <w:i w:val="false"/>
                <w:color w:val="000000"/>
                <w:sz w:val="20"/>
              </w:rPr>
              <w:t>
государств, соответствующие усло-
</w:t>
            </w:r>
            <w:r>
              <w:br/>
            </w:r>
            <w:r>
              <w:rPr>
                <w:rFonts w:ascii="Times New Roman"/>
                <w:b w:val="false"/>
                <w:i w:val="false"/>
                <w:color w:val="000000"/>
                <w:sz w:val="20"/>
              </w:rPr>
              <w:t>
виям пункта 4 настоящего 
</w:t>
            </w:r>
            <w:r>
              <w:br/>
            </w:r>
            <w:r>
              <w:rPr>
                <w:rFonts w:ascii="Times New Roman"/>
                <w:b w:val="false"/>
                <w:i w:val="false"/>
                <w:color w:val="000000"/>
                <w:sz w:val="20"/>
              </w:rPr>
              <w:t>
Приложения, негосударственные 
</w:t>
            </w:r>
            <w:r>
              <w:br/>
            </w:r>
            <w:r>
              <w:rPr>
                <w:rFonts w:ascii="Times New Roman"/>
                <w:b w:val="false"/>
                <w:i w:val="false"/>
                <w:color w:val="000000"/>
                <w:sz w:val="20"/>
              </w:rPr>
              <w:t>
ценные бумаги иностранных 
</w:t>
            </w:r>
            <w:r>
              <w:br/>
            </w:r>
            <w:r>
              <w:rPr>
                <w:rFonts w:ascii="Times New Roman"/>
                <w:b w:val="false"/>
                <w:i w:val="false"/>
                <w:color w:val="000000"/>
                <w:sz w:val="20"/>
              </w:rPr>
              <w:t>
эмитентов, соответствующие условиямпункта 5 настоящего Приложения,
</w:t>
            </w:r>
            <w:r>
              <w:br/>
            </w:r>
            <w:r>
              <w:rPr>
                <w:rFonts w:ascii="Times New Roman"/>
                <w:b w:val="false"/>
                <w:i w:val="false"/>
                <w:color w:val="000000"/>
                <w:sz w:val="20"/>
              </w:rPr>
              <w:t>
ценные бумаги международных финансовых 
</w:t>
            </w:r>
            <w:r>
              <w:br/>
            </w:r>
            <w:r>
              <w:rPr>
                <w:rFonts w:ascii="Times New Roman"/>
                <w:b w:val="false"/>
                <w:i w:val="false"/>
                <w:color w:val="000000"/>
                <w:sz w:val="20"/>
              </w:rPr>
              <w:t>
организаций,
</w:t>
            </w:r>
          </w:p>
          <w:p>
            <w:pPr>
              <w:spacing w:after="20"/>
              <w:ind w:left="20"/>
              <w:jc w:val="both"/>
            </w:pPr>
            <w:r>
              <w:rPr>
                <w:rFonts w:ascii="Times New Roman"/>
                <w:b w:val="false"/>
                <w:i w:val="false"/>
                <w:color w:val="000000"/>
                <w:sz w:val="20"/>
              </w:rPr>
              <w:t>
 определенных пунктом 2 настоящего Приложения, указанные паи иностранных 
</w:t>
            </w:r>
            <w:r>
              <w:br/>
            </w:r>
            <w:r>
              <w:rPr>
                <w:rFonts w:ascii="Times New Roman"/>
                <w:b w:val="false"/>
                <w:i w:val="false"/>
                <w:color w:val="000000"/>
                <w:sz w:val="20"/>
              </w:rPr>
              <w:t>
инвестиционных фондов, в том числе: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40%, в том числе: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государств, соответствующие условиям подпункта 1) пункта 4 настоящего Приложения, негосударственные ценные бумаги иностранных эмитентов, соответствующие условиям подпунктов 1)-2) пункта 5 настоящего Приложения;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40%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w:t>
            </w:r>
            <w:r>
              <w:br/>
            </w:r>
            <w:r>
              <w:rPr>
                <w:rFonts w:ascii="Times New Roman"/>
                <w:b w:val="false"/>
                <w:i w:val="false"/>
                <w:color w:val="000000"/>
                <w:sz w:val="20"/>
              </w:rPr>
              <w:t>
государств, соответствующие условиям подпункта 2) пункта 4 настоящего Приложения, негосударственные 
</w:t>
            </w:r>
            <w:r>
              <w:br/>
            </w:r>
            <w:r>
              <w:rPr>
                <w:rFonts w:ascii="Times New Roman"/>
                <w:b w:val="false"/>
                <w:i w:val="false"/>
                <w:color w:val="000000"/>
                <w:sz w:val="20"/>
              </w:rPr>
              <w:t>
ценные бумаги иностранных эмитентов, соответствующие условиям подпунктов 3)-4) пункта 5 настоящего Приложения;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30%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w:t>
            </w:r>
            <w:r>
              <w:br/>
            </w:r>
            <w:r>
              <w:rPr>
                <w:rFonts w:ascii="Times New Roman"/>
                <w:b w:val="false"/>
                <w:i w:val="false"/>
                <w:color w:val="000000"/>
                <w:sz w:val="20"/>
              </w:rPr>
              <w:t>
государств, соответствующие условиям подпункта 3) пункта 4 настоящего Приложения, 
</w:t>
            </w:r>
            <w:r>
              <w:br/>
            </w:r>
            <w:r>
              <w:rPr>
                <w:rFonts w:ascii="Times New Roman"/>
                <w:b w:val="false"/>
                <w:i w:val="false"/>
                <w:color w:val="000000"/>
                <w:sz w:val="20"/>
              </w:rPr>
              <w:t>
негосударственные ценные бумаги 
</w:t>
            </w:r>
            <w:r>
              <w:br/>
            </w:r>
            <w:r>
              <w:rPr>
                <w:rFonts w:ascii="Times New Roman"/>
                <w:b w:val="false"/>
                <w:i w:val="false"/>
                <w:color w:val="000000"/>
                <w:sz w:val="20"/>
              </w:rPr>
              <w:t>
иностранных эмитентов, 
</w:t>
            </w:r>
            <w:r>
              <w:br/>
            </w:r>
            <w:r>
              <w:rPr>
                <w:rFonts w:ascii="Times New Roman"/>
                <w:b w:val="false"/>
                <w:i w:val="false"/>
                <w:color w:val="000000"/>
                <w:sz w:val="20"/>
              </w:rPr>
              <w:t>
соответствующие условиям подпунктов5)-6) пункта 5 настоящего 
</w:t>
            </w:r>
            <w:r>
              <w:br/>
            </w:r>
            <w:r>
              <w:rPr>
                <w:rFonts w:ascii="Times New Roman"/>
                <w:b w:val="false"/>
                <w:i w:val="false"/>
                <w:color w:val="000000"/>
                <w:sz w:val="20"/>
              </w:rPr>
              <w:t>
Приложения;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20%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w:t>
            </w:r>
            <w:r>
              <w:br/>
            </w:r>
            <w:r>
              <w:rPr>
                <w:rFonts w:ascii="Times New Roman"/>
                <w:b w:val="false"/>
                <w:i w:val="false"/>
                <w:color w:val="000000"/>
                <w:sz w:val="20"/>
              </w:rPr>
              <w:t>
государств, соответствующие условиям подпункта 4) пункта 4 настоящего Приложения, 
</w:t>
            </w:r>
            <w:r>
              <w:br/>
            </w:r>
            <w:r>
              <w:rPr>
                <w:rFonts w:ascii="Times New Roman"/>
                <w:b w:val="false"/>
                <w:i w:val="false"/>
                <w:color w:val="000000"/>
                <w:sz w:val="20"/>
              </w:rPr>
              <w:t>
негосударственные ценные бумаги 
</w:t>
            </w:r>
            <w:r>
              <w:br/>
            </w:r>
            <w:r>
              <w:rPr>
                <w:rFonts w:ascii="Times New Roman"/>
                <w:b w:val="false"/>
                <w:i w:val="false"/>
                <w:color w:val="000000"/>
                <w:sz w:val="20"/>
              </w:rPr>
              <w:t>
иностранных эмитентов, 
</w:t>
            </w:r>
            <w:r>
              <w:br/>
            </w:r>
            <w:r>
              <w:rPr>
                <w:rFonts w:ascii="Times New Roman"/>
                <w:b w:val="false"/>
                <w:i w:val="false"/>
                <w:color w:val="000000"/>
                <w:sz w:val="20"/>
              </w:rPr>
              <w:t>
соответствующие условиям подпунктов7)-8) пункта 5 настоящего 
</w:t>
            </w:r>
            <w:r>
              <w:br/>
            </w:r>
            <w:r>
              <w:rPr>
                <w:rFonts w:ascii="Times New Roman"/>
                <w:b w:val="false"/>
                <w:i w:val="false"/>
                <w:color w:val="000000"/>
                <w:sz w:val="20"/>
              </w:rPr>
              <w:t>
Приложения;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10%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иностранных инвестиционных фондов, имеющих рейтинговую оценку "Standard &amp; Poor's principal stability fund ratings" не ниже "BBBm" либо "Standard &amp; Poor's Fund credit quality ratings" не ниже "BBBf".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5%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облигации организаций  Республики Казахстан, включенные в официальный список организатора 
</w:t>
            </w:r>
            <w:r>
              <w:br/>
            </w:r>
            <w:r>
              <w:rPr>
                <w:rFonts w:ascii="Times New Roman"/>
                <w:b w:val="false"/>
                <w:i w:val="false"/>
                <w:color w:val="000000"/>
                <w:sz w:val="20"/>
              </w:rPr>
              <w:t>
торгов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20%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Включенные в официальный список 
</w:t>
            </w:r>
            <w:r>
              <w:br/>
            </w:r>
            <w:r>
              <w:rPr>
                <w:rFonts w:ascii="Times New Roman"/>
                <w:b w:val="false"/>
                <w:i w:val="false"/>
                <w:color w:val="000000"/>
                <w:sz w:val="20"/>
              </w:rPr>
              <w:t>
организатора торгов по категории "А" иные, помимо ипотечных облигаций, 
</w:t>
            </w:r>
            <w:r>
              <w:br/>
            </w: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организаций 
</w:t>
            </w:r>
            <w:r>
              <w:br/>
            </w:r>
            <w:r>
              <w:rPr>
                <w:rFonts w:ascii="Times New Roman"/>
                <w:b w:val="false"/>
                <w:i w:val="false"/>
                <w:color w:val="000000"/>
                <w:sz w:val="20"/>
              </w:rPr>
              <w:t>
Республики Казахстан, выпущенные в соответствии с законодательством 
</w:t>
            </w:r>
            <w:r>
              <w:br/>
            </w:r>
            <w:r>
              <w:rPr>
                <w:rFonts w:ascii="Times New Roman"/>
                <w:b w:val="false"/>
                <w:i w:val="false"/>
                <w:color w:val="000000"/>
                <w:sz w:val="20"/>
              </w:rPr>
              <w:t>
Республики Казахстан и других 
</w:t>
            </w:r>
            <w:r>
              <w:br/>
            </w:r>
            <w:r>
              <w:rPr>
                <w:rFonts w:ascii="Times New Roman"/>
                <w:b w:val="false"/>
                <w:i w:val="false"/>
                <w:color w:val="000000"/>
                <w:sz w:val="20"/>
              </w:rPr>
              <w:t>
государств, и акции организаций 
</w:t>
            </w:r>
            <w:r>
              <w:br/>
            </w:r>
            <w:r>
              <w:rPr>
                <w:rFonts w:ascii="Times New Roman"/>
                <w:b w:val="false"/>
                <w:i w:val="false"/>
                <w:color w:val="000000"/>
                <w:sz w:val="20"/>
              </w:rPr>
              <w:t>
Республики Казахстан, имеющих 
</w:t>
            </w:r>
            <w:r>
              <w:br/>
            </w:r>
            <w:r>
              <w:rPr>
                <w:rFonts w:ascii="Times New Roman"/>
                <w:b w:val="false"/>
                <w:i w:val="false"/>
                <w:color w:val="000000"/>
                <w:sz w:val="20"/>
              </w:rPr>
              <w:t>
рейтинговую оценку не ниже "ВВ" (по 
</w:t>
            </w:r>
            <w:r>
              <w:br/>
            </w:r>
            <w:r>
              <w:rPr>
                <w:rFonts w:ascii="Times New Roman"/>
                <w:b w:val="false"/>
                <w:i w:val="false"/>
                <w:color w:val="000000"/>
                <w:sz w:val="20"/>
              </w:rPr>
              <w:t>
классификации рейтинговых агентств "Standard &amp; Poor's" и "Fitch") или "Ва2"
</w:t>
            </w:r>
            <w:r>
              <w:br/>
            </w:r>
            <w:r>
              <w:rPr>
                <w:rFonts w:ascii="Times New Roman"/>
                <w:b w:val="false"/>
                <w:i w:val="false"/>
                <w:color w:val="000000"/>
                <w:sz w:val="20"/>
              </w:rPr>
              <w:t>
(по классификации рейтингового 
</w:t>
            </w:r>
            <w:r>
              <w:br/>
            </w:r>
            <w:r>
              <w:rPr>
                <w:rFonts w:ascii="Times New Roman"/>
                <w:b w:val="false"/>
                <w:i w:val="false"/>
                <w:color w:val="000000"/>
                <w:sz w:val="20"/>
              </w:rPr>
              <w:t>
агентства "Moody's Investors Service"), или рейтинговую оценку "А"»по национальной шкале 
</w:t>
            </w:r>
            <w:r>
              <w:br/>
            </w:r>
            <w:r>
              <w:rPr>
                <w:rFonts w:ascii="Times New Roman"/>
                <w:b w:val="false"/>
                <w:i w:val="false"/>
                <w:color w:val="000000"/>
                <w:sz w:val="20"/>
              </w:rPr>
              <w:t>
"Standard &amp; Poor's", обращающиеся 
</w:t>
            </w:r>
            <w:r>
              <w:br/>
            </w:r>
            <w:r>
              <w:rPr>
                <w:rFonts w:ascii="Times New Roman"/>
                <w:b w:val="false"/>
                <w:i w:val="false"/>
                <w:color w:val="000000"/>
                <w:sz w:val="20"/>
              </w:rPr>
              <w:t>
на организованных рынках 
</w:t>
            </w:r>
            <w:r>
              <w:br/>
            </w:r>
            <w:r>
              <w:rPr>
                <w:rFonts w:ascii="Times New Roman"/>
                <w:b w:val="false"/>
                <w:i w:val="false"/>
                <w:color w:val="000000"/>
                <w:sz w:val="20"/>
              </w:rPr>
              <w:t>
иностранных государств или 
</w:t>
            </w:r>
            <w:r>
              <w:br/>
            </w:r>
            <w:r>
              <w:rPr>
                <w:rFonts w:ascii="Times New Roman"/>
                <w:b w:val="false"/>
                <w:i w:val="false"/>
                <w:color w:val="000000"/>
                <w:sz w:val="20"/>
              </w:rPr>
              <w:t>
Республики Казахстан, и долговые 
</w:t>
            </w:r>
            <w:r>
              <w:br/>
            </w:r>
            <w:r>
              <w:rPr>
                <w:rFonts w:ascii="Times New Roman"/>
                <w:b w:val="false"/>
                <w:i w:val="false"/>
                <w:color w:val="000000"/>
                <w:sz w:val="20"/>
              </w:rPr>
              <w:t>
ценные бумаги организаций Республики Казахстан, имеющие 
</w:t>
            </w:r>
            <w:r>
              <w:br/>
            </w:r>
            <w:r>
              <w:rPr>
                <w:rFonts w:ascii="Times New Roman"/>
                <w:b w:val="false"/>
                <w:i w:val="false"/>
                <w:color w:val="000000"/>
                <w:sz w:val="20"/>
              </w:rPr>
              <w:t>
рейтинговую оценку не ниже "ВВ" 
</w:t>
            </w:r>
            <w:r>
              <w:br/>
            </w:r>
            <w:r>
              <w:rPr>
                <w:rFonts w:ascii="Times New Roman"/>
                <w:b w:val="false"/>
                <w:i w:val="false"/>
                <w:color w:val="000000"/>
                <w:sz w:val="20"/>
              </w:rPr>
              <w:t>
(по классификации рейтинговых 
</w:t>
            </w:r>
            <w:r>
              <w:br/>
            </w:r>
            <w:r>
              <w:rPr>
                <w:rFonts w:ascii="Times New Roman"/>
                <w:b w:val="false"/>
                <w:i w:val="false"/>
                <w:color w:val="000000"/>
                <w:sz w:val="20"/>
              </w:rPr>
              <w:t>
агентств "Standard &amp; Poor's"»
</w:t>
            </w:r>
            <w:r>
              <w:br/>
            </w:r>
            <w:r>
              <w:rPr>
                <w:rFonts w:ascii="Times New Roman"/>
                <w:b w:val="false"/>
                <w:i w:val="false"/>
                <w:color w:val="000000"/>
                <w:sz w:val="20"/>
              </w:rPr>
              <w:t>
и "Fitch") или "Ва2" (по классификации рейтингового 
</w:t>
            </w:r>
            <w:r>
              <w:br/>
            </w:r>
            <w:r>
              <w:rPr>
                <w:rFonts w:ascii="Times New Roman"/>
                <w:b w:val="false"/>
                <w:i w:val="false"/>
                <w:color w:val="000000"/>
                <w:sz w:val="20"/>
              </w:rPr>
              <w:t>
агентства "Moody's Investors Service"), или рейтинговуюоценку "А"»
</w:t>
            </w:r>
            <w:r>
              <w:br/>
            </w:r>
            <w:r>
              <w:rPr>
                <w:rFonts w:ascii="Times New Roman"/>
                <w:b w:val="false"/>
                <w:i w:val="false"/>
                <w:color w:val="000000"/>
                <w:sz w:val="20"/>
              </w:rPr>
              <w:t>
по национальной шкале 
</w:t>
            </w:r>
            <w:r>
              <w:br/>
            </w:r>
            <w:r>
              <w:rPr>
                <w:rFonts w:ascii="Times New Roman"/>
                <w:b w:val="false"/>
                <w:i w:val="false"/>
                <w:color w:val="000000"/>
                <w:sz w:val="20"/>
              </w:rPr>
              <w:t>
Standard &amp; Poor's, обращающиеся на 
</w:t>
            </w:r>
            <w:r>
              <w:br/>
            </w:r>
            <w:r>
              <w:rPr>
                <w:rFonts w:ascii="Times New Roman"/>
                <w:b w:val="false"/>
                <w:i w:val="false"/>
                <w:color w:val="000000"/>
                <w:sz w:val="20"/>
              </w:rPr>
              <w:t>
организованных рынках иностранных 
</w:t>
            </w:r>
            <w:r>
              <w:br/>
            </w:r>
            <w:r>
              <w:rPr>
                <w:rFonts w:ascii="Times New Roman"/>
                <w:b w:val="false"/>
                <w:i w:val="false"/>
                <w:color w:val="000000"/>
                <w:sz w:val="20"/>
              </w:rPr>
              <w:t>
государств или Республики Казахстан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50%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Облигации АО "Банк Развития 
</w:t>
            </w:r>
            <w:r>
              <w:br/>
            </w:r>
            <w:r>
              <w:rPr>
                <w:rFonts w:ascii="Times New Roman"/>
                <w:b w:val="false"/>
                <w:i w:val="false"/>
                <w:color w:val="000000"/>
                <w:sz w:val="20"/>
              </w:rPr>
              <w:t>
Казахстана" и ценные бумаги, 
</w:t>
            </w:r>
            <w:r>
              <w:br/>
            </w:r>
            <w:r>
              <w:rPr>
                <w:rFonts w:ascii="Times New Roman"/>
                <w:b w:val="false"/>
                <w:i w:val="false"/>
                <w:color w:val="000000"/>
                <w:sz w:val="20"/>
              </w:rPr>
              <w:t>
выпущенные под гарантию АО "Банк 
</w:t>
            </w:r>
            <w:r>
              <w:br/>
            </w:r>
            <w:r>
              <w:rPr>
                <w:rFonts w:ascii="Times New Roman"/>
                <w:b w:val="false"/>
                <w:i w:val="false"/>
                <w:color w:val="000000"/>
                <w:sz w:val="20"/>
              </w:rPr>
              <w:t>
Развития Казахстана"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15%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металлы,соответствующие международным 
</w:t>
            </w:r>
            <w:r>
              <w:br/>
            </w:r>
            <w:r>
              <w:rPr>
                <w:rFonts w:ascii="Times New Roman"/>
                <w:b w:val="false"/>
                <w:i w:val="false"/>
                <w:color w:val="000000"/>
                <w:sz w:val="20"/>
              </w:rPr>
              <w:t>
стандартам качества, принятым 
</w:t>
            </w:r>
            <w:r>
              <w:br/>
            </w:r>
            <w:r>
              <w:rPr>
                <w:rFonts w:ascii="Times New Roman"/>
                <w:b w:val="false"/>
                <w:i w:val="false"/>
                <w:color w:val="000000"/>
                <w:sz w:val="20"/>
              </w:rPr>
              <w:t>
Лондонской ассоциацией рынка 
</w:t>
            </w:r>
            <w:r>
              <w:br/>
            </w:r>
            <w:r>
              <w:rPr>
                <w:rFonts w:ascii="Times New Roman"/>
                <w:b w:val="false"/>
                <w:i w:val="false"/>
                <w:color w:val="000000"/>
                <w:sz w:val="20"/>
              </w:rPr>
              <w:t>
драгоценных металлов (London bullion market association) 
</w:t>
            </w:r>
            <w:r>
              <w:br/>
            </w:r>
            <w:r>
              <w:rPr>
                <w:rFonts w:ascii="Times New Roman"/>
                <w:b w:val="false"/>
                <w:i w:val="false"/>
                <w:color w:val="000000"/>
                <w:sz w:val="20"/>
              </w:rPr>
              <w:t>
и обозначенным в документах данной 
</w:t>
            </w:r>
            <w:r>
              <w:br/>
            </w:r>
            <w:r>
              <w:rPr>
                <w:rFonts w:ascii="Times New Roman"/>
                <w:b w:val="false"/>
                <w:i w:val="false"/>
                <w:color w:val="000000"/>
                <w:sz w:val="20"/>
              </w:rPr>
              <w:t>
ассоциации как стандарт "Лондонская качественная поставка" ("London good delivery")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5%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облигации организаций Республики Казахстан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15%
</w:t>
            </w:r>
          </w:p>
        </w:tc>
      </w:tr>
      <w:tr>
        <w:trPr>
          <w:trHeight w:val="90" w:hRule="atLeast"/>
        </w:trPr>
        <w:tc>
          <w:tcPr>
            <w:tcW w:w="91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9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Включенные в официальный список организатора торгов по категории "В" долговые ценные бумаги организаций Республики 
</w:t>
            </w:r>
            <w:r>
              <w:br/>
            </w:r>
            <w:r>
              <w:rPr>
                <w:rFonts w:ascii="Times New Roman"/>
                <w:b w:val="false"/>
                <w:i w:val="false"/>
                <w:color w:val="000000"/>
                <w:sz w:val="20"/>
              </w:rPr>
              <w:t>
Казахстан, выпущенные в 
</w:t>
            </w:r>
            <w:r>
              <w:br/>
            </w:r>
            <w:r>
              <w:rPr>
                <w:rFonts w:ascii="Times New Roman"/>
                <w:b w:val="false"/>
                <w:i w:val="false"/>
                <w:color w:val="000000"/>
                <w:sz w:val="20"/>
              </w:rPr>
              <w:t>
соответствии с законодательством 
</w:t>
            </w:r>
            <w:r>
              <w:br/>
            </w:r>
            <w:r>
              <w:rPr>
                <w:rFonts w:ascii="Times New Roman"/>
                <w:b w:val="false"/>
                <w:i w:val="false"/>
                <w:color w:val="000000"/>
                <w:sz w:val="20"/>
              </w:rPr>
              <w:t>
Республики Казахстан и других 
</w:t>
            </w:r>
            <w:r>
              <w:br/>
            </w:r>
            <w:r>
              <w:rPr>
                <w:rFonts w:ascii="Times New Roman"/>
                <w:b w:val="false"/>
                <w:i w:val="false"/>
                <w:color w:val="000000"/>
                <w:sz w:val="20"/>
              </w:rPr>
              <w:t>
государств, а также включенные в официальный список организатора торгов по категориям "А" или "В" паи интервальных паевых инвестиционных фондов, управляющая компания которого является резидентом Республики Казахстан
</w:t>
            </w:r>
          </w:p>
        </w:tc>
        <w:tc>
          <w:tcPr>
            <w:tcW w:w="4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5%
</w:t>
            </w:r>
          </w:p>
        </w:tc>
      </w:tr>
    </w:tbl>
    <w:p>
      <w:pPr>
        <w:spacing w:after="0"/>
        <w:ind w:left="0"/>
        <w:jc w:val="both"/>
      </w:pPr>
      <w:r>
        <w:rPr>
          <w:rFonts w:ascii="Times New Roman"/>
          <w:b w:val="false"/>
          <w:i w:val="false"/>
          <w:color w:val="000000"/>
          <w:sz w:val="28"/>
        </w:rPr>
        <w:t>
      2. Ценные бумаги, эмитированные следующими международными финансовыми организациями:
</w:t>
      </w:r>
      <w:r>
        <w:br/>
      </w:r>
      <w:r>
        <w:rPr>
          <w:rFonts w:ascii="Times New Roman"/>
          <w:b w:val="false"/>
          <w:i w:val="false"/>
          <w:color w:val="000000"/>
          <w:sz w:val="28"/>
        </w:rPr>
        <w:t>
      1) Международным банком реконструкции и развития; 
</w:t>
      </w:r>
      <w:r>
        <w:br/>
      </w:r>
      <w:r>
        <w:rPr>
          <w:rFonts w:ascii="Times New Roman"/>
          <w:b w:val="false"/>
          <w:i w:val="false"/>
          <w:color w:val="000000"/>
          <w:sz w:val="28"/>
        </w:rPr>
        <w:t>
      2) Европейским банком реконструкции и развития;
</w:t>
      </w:r>
      <w:r>
        <w:br/>
      </w:r>
      <w:r>
        <w:rPr>
          <w:rFonts w:ascii="Times New Roman"/>
          <w:b w:val="false"/>
          <w:i w:val="false"/>
          <w:color w:val="000000"/>
          <w:sz w:val="28"/>
        </w:rPr>
        <w:t>
      3) Межамериканским банком развития;
</w:t>
      </w:r>
      <w:r>
        <w:br/>
      </w:r>
      <w:r>
        <w:rPr>
          <w:rFonts w:ascii="Times New Roman"/>
          <w:b w:val="false"/>
          <w:i w:val="false"/>
          <w:color w:val="000000"/>
          <w:sz w:val="28"/>
        </w:rPr>
        <w:t>
      4) Банком международных расчетов;
</w:t>
      </w:r>
      <w:r>
        <w:br/>
      </w:r>
      <w:r>
        <w:rPr>
          <w:rFonts w:ascii="Times New Roman"/>
          <w:b w:val="false"/>
          <w:i w:val="false"/>
          <w:color w:val="000000"/>
          <w:sz w:val="28"/>
        </w:rPr>
        <w:t>
      5) Азиатским банком развития;
</w:t>
      </w:r>
      <w:r>
        <w:br/>
      </w:r>
      <w:r>
        <w:rPr>
          <w:rFonts w:ascii="Times New Roman"/>
          <w:b w:val="false"/>
          <w:i w:val="false"/>
          <w:color w:val="000000"/>
          <w:sz w:val="28"/>
        </w:rPr>
        <w:t>
      6) Африканским банком развития;
</w:t>
      </w:r>
      <w:r>
        <w:br/>
      </w:r>
      <w:r>
        <w:rPr>
          <w:rFonts w:ascii="Times New Roman"/>
          <w:b w:val="false"/>
          <w:i w:val="false"/>
          <w:color w:val="000000"/>
          <w:sz w:val="28"/>
        </w:rPr>
        <w:t>
      7) Международной финансовой корпорацией;
</w:t>
      </w:r>
      <w:r>
        <w:br/>
      </w:r>
      <w:r>
        <w:rPr>
          <w:rFonts w:ascii="Times New Roman"/>
          <w:b w:val="false"/>
          <w:i w:val="false"/>
          <w:color w:val="000000"/>
          <w:sz w:val="28"/>
        </w:rPr>
        <w:t>
      8) Исламским банком развития;
</w:t>
      </w:r>
      <w:r>
        <w:br/>
      </w:r>
      <w:r>
        <w:rPr>
          <w:rFonts w:ascii="Times New Roman"/>
          <w:b w:val="false"/>
          <w:i w:val="false"/>
          <w:color w:val="000000"/>
          <w:sz w:val="28"/>
        </w:rPr>
        <w:t>
      9) Европейским инвестиционным банком.
</w:t>
      </w:r>
      <w:r>
        <w:br/>
      </w:r>
      <w:r>
        <w:rPr>
          <w:rFonts w:ascii="Times New Roman"/>
          <w:b w:val="false"/>
          <w:i w:val="false"/>
          <w:color w:val="000000"/>
          <w:sz w:val="28"/>
        </w:rPr>
        <w:t>
      3. Во вклады в банке, который на дату размещения должен быть банком, чьи ценные бумаги включены в официальный список организатора торгов по категории "А" или дочерним банком-резидентом, родительский банк-нерезидент которого имеет долгосрочный, краткосрочный и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w:t>
      </w:r>
      <w:r>
        <w:br/>
      </w:r>
      <w:r>
        <w:rPr>
          <w:rFonts w:ascii="Times New Roman"/>
          <w:b w:val="false"/>
          <w:i w:val="false"/>
          <w:color w:val="000000"/>
          <w:sz w:val="28"/>
        </w:rPr>
        <w:t>
      4. Ценные бумаги иностранных государств с учетом ограничений, установленных пунктом 1 настоящего Приложения:
</w:t>
      </w:r>
      <w:r>
        <w:br/>
      </w:r>
      <w:r>
        <w:rPr>
          <w:rFonts w:ascii="Times New Roman"/>
          <w:b w:val="false"/>
          <w:i w:val="false"/>
          <w:color w:val="000000"/>
          <w:sz w:val="28"/>
        </w:rPr>
        <w:t>
      1) ценные бумаги иностранных государств, имеющих долгосрочную рейтинговую оценку в иностранной валюте по международной шкале кредитного рейтинга не ниже "ААА" (по классификации рейтинговых агентств "Standard &amp; Poor's" и "Fitch") или "Ааа" (по классификации рейтингового агентства "Moody's Investors Service");
</w:t>
      </w:r>
      <w:r>
        <w:br/>
      </w:r>
      <w:r>
        <w:rPr>
          <w:rFonts w:ascii="Times New Roman"/>
          <w:b w:val="false"/>
          <w:i w:val="false"/>
          <w:color w:val="000000"/>
          <w:sz w:val="28"/>
        </w:rPr>
        <w:t>
      2) ценные бумаги иностранных государств, имеющих долгосрочную рейтинговую оценку в иностранной валюте по международной шкале кредитного рейтинга не ниже "АА" (по классификации рейтинговых агентств "Standard &amp; Poor's" и "Fitch") или "Аа2" (по классификации рейтингового агентства "Moody's Investors Service");
</w:t>
      </w:r>
      <w:r>
        <w:br/>
      </w:r>
      <w:r>
        <w:rPr>
          <w:rFonts w:ascii="Times New Roman"/>
          <w:b w:val="false"/>
          <w:i w:val="false"/>
          <w:color w:val="000000"/>
          <w:sz w:val="28"/>
        </w:rPr>
        <w:t>
      3) ценные бумаги иностранных государств, имеющих долгосрочную рейтинговую оценку в иностранной валюте по международной шкале кредитного рейтинга не ниже "А" (по классификации рейтинговых агентств "Standard &amp; Poor's" и "Fitch") или "А2" (по классификации рейтингового агентства "Moody's Investors Service");
</w:t>
      </w:r>
      <w:r>
        <w:br/>
      </w:r>
      <w:r>
        <w:rPr>
          <w:rFonts w:ascii="Times New Roman"/>
          <w:b w:val="false"/>
          <w:i w:val="false"/>
          <w:color w:val="000000"/>
          <w:sz w:val="28"/>
        </w:rPr>
        <w:t>
      4) ценные бумаги иностранных государств, имеющих долгосрочную рейтинговую оценку в иностранной валюте по международной шкале кредитного рейтинга не ниже "ВВВ" (по классификации рейтинговых агентств "Standard &amp; Poor's" и "Fitch") или "Ваа2" (по классификации рейтингового агентства "Moody's Investors Service").
</w:t>
      </w:r>
      <w:r>
        <w:br/>
      </w:r>
      <w:r>
        <w:rPr>
          <w:rFonts w:ascii="Times New Roman"/>
          <w:b w:val="false"/>
          <w:i w:val="false"/>
          <w:color w:val="000000"/>
          <w:sz w:val="28"/>
        </w:rPr>
        <w:t>
      5. Негосударственные ценные бумаги иностранных эмитентов с учетом ограничений, установленных пунктом 1 настоящего Приложения:
</w:t>
      </w:r>
      <w:r>
        <w:br/>
      </w:r>
      <w:r>
        <w:rPr>
          <w:rFonts w:ascii="Times New Roman"/>
          <w:b w:val="false"/>
          <w:i w:val="false"/>
          <w:color w:val="000000"/>
          <w:sz w:val="28"/>
        </w:rPr>
        <w:t>
      1) долговые ценные бумаги, имеющие рейтинговую оценку не ниже "ААА" (по классификации рейтинговых агентств "Standard &amp; Poor's" и "Fitch") или "Ааа" (по классификации рейтингового агентства "Moody's Investors Service");
</w:t>
      </w:r>
      <w:r>
        <w:br/>
      </w:r>
      <w:r>
        <w:rPr>
          <w:rFonts w:ascii="Times New Roman"/>
          <w:b w:val="false"/>
          <w:i w:val="false"/>
          <w:color w:val="000000"/>
          <w:sz w:val="28"/>
        </w:rPr>
        <w:t>
      2) акции эмитентов, имеющих рейтинговую оценку не ниже "ААА" (по классификации рейтинговых агентств "Standard &amp; Poor's" и "Fitch") или "Ааа" (по классификации рейтингового агентства "Moody's Investors Service");
</w:t>
      </w:r>
      <w:r>
        <w:br/>
      </w:r>
      <w:r>
        <w:rPr>
          <w:rFonts w:ascii="Times New Roman"/>
          <w:b w:val="false"/>
          <w:i w:val="false"/>
          <w:color w:val="000000"/>
          <w:sz w:val="28"/>
        </w:rPr>
        <w:t>
      3) долговые ценные бумаги, имеющие рейтинговую оценку не ниже "АА" (по классификации рейтинговых агентств "Standard &amp; Poor's" и "Fitch") или "Аа2" (по классификации рейтингового агентства "Moody's Investors Service");
</w:t>
      </w:r>
      <w:r>
        <w:br/>
      </w:r>
      <w:r>
        <w:rPr>
          <w:rFonts w:ascii="Times New Roman"/>
          <w:b w:val="false"/>
          <w:i w:val="false"/>
          <w:color w:val="000000"/>
          <w:sz w:val="28"/>
        </w:rPr>
        <w:t>
      4) акции эмитентов, имеющих рейтинговую оценку не ниже "АА" (по классификации рейтинговых агентств "Standard &amp; Poor's" и "Fitch") или "Аа2" (по классификации рейтингового агентства "Moody's Investors Service");
</w:t>
      </w:r>
      <w:r>
        <w:br/>
      </w:r>
      <w:r>
        <w:rPr>
          <w:rFonts w:ascii="Times New Roman"/>
          <w:b w:val="false"/>
          <w:i w:val="false"/>
          <w:color w:val="000000"/>
          <w:sz w:val="28"/>
        </w:rPr>
        <w:t>
      5) долговые ценные бумаги, имеющие рейтинговую оценку не ниже "А" (по классификации рейтинговых агентств "Standard &amp; Poor's" и "Fitch") или "А2" (по классификации рейтингового агентства "Moody's Investors Service");
</w:t>
      </w:r>
      <w:r>
        <w:br/>
      </w:r>
      <w:r>
        <w:rPr>
          <w:rFonts w:ascii="Times New Roman"/>
          <w:b w:val="false"/>
          <w:i w:val="false"/>
          <w:color w:val="000000"/>
          <w:sz w:val="28"/>
        </w:rPr>
        <w:t>
      6) акции эмитентов, имеющих рейтинговую оценку не ниже "А" (по классификации рейтинговых агентств "Standard &amp; Poor's" и "Fitch") или "А2" (по классификации рейтингового агентства "Moody's Investors Service");
</w:t>
      </w:r>
      <w:r>
        <w:br/>
      </w:r>
      <w:r>
        <w:rPr>
          <w:rFonts w:ascii="Times New Roman"/>
          <w:b w:val="false"/>
          <w:i w:val="false"/>
          <w:color w:val="000000"/>
          <w:sz w:val="28"/>
        </w:rPr>
        <w:t>
      7) долговые ценные бумаги, имеющие рейтинговую оценку не ниже "ВВВ" (по классификации рейтинговых агентств "Standard &amp; Poor's" и "Fitch") или "Ваа2" (по классификации рейтингового агентства "Moody's Investors Service");
</w:t>
      </w:r>
      <w:r>
        <w:br/>
      </w:r>
      <w:r>
        <w:rPr>
          <w:rFonts w:ascii="Times New Roman"/>
          <w:b w:val="false"/>
          <w:i w:val="false"/>
          <w:color w:val="000000"/>
          <w:sz w:val="28"/>
        </w:rPr>
        <w:t>
      8) акции эмитентов, имеющих рейтинговую оценку не ниже "ВВВ" (по классификации рейтинговых агентств "Standard &amp; Poor's" и "Fitch") или "Ваа2" (по классификации рейтингового агентства "Moody's Investors Service").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осуществления деятельности    
</w:t>
      </w:r>
      <w:r>
        <w:br/>
      </w:r>
      <w:r>
        <w:rPr>
          <w:rFonts w:ascii="Times New Roman"/>
          <w:b w:val="false"/>
          <w:i w:val="false"/>
          <w:color w:val="000000"/>
          <w:sz w:val="28"/>
        </w:rPr>
        <w:t>
                                 по инвестиционному управлению      
</w:t>
      </w:r>
      <w:r>
        <w:br/>
      </w:r>
      <w:r>
        <w:rPr>
          <w:rFonts w:ascii="Times New Roman"/>
          <w:b w:val="false"/>
          <w:i w:val="false"/>
          <w:color w:val="000000"/>
          <w:sz w:val="28"/>
        </w:rPr>
        <w:t>
                                      пенсионными активами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7638"/>
        <w:gridCol w:w="4594"/>
      </w:tblGrid>
      <w:tr>
        <w:trPr>
          <w:trHeight w:val="90" w:hRule="atLeast"/>
        </w:trPr>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инструмента хеджирования
</w:t>
            </w:r>
          </w:p>
        </w:tc>
        <w:tc>
          <w:tcPr>
            <w:tcW w:w="4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Предел использования
</w:t>
            </w:r>
          </w:p>
        </w:tc>
      </w:tr>
      <w:tr>
        <w:trPr>
          <w:trHeight w:val="90" w:hRule="atLeast"/>
        </w:trPr>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w:t>
            </w:r>
          </w:p>
        </w:tc>
        <w:tc>
          <w:tcPr>
            <w:tcW w:w="4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50%
</w:t>
            </w:r>
          </w:p>
        </w:tc>
      </w:tr>
      <w:tr>
        <w:trPr>
          <w:trHeight w:val="90" w:hRule="atLeast"/>
        </w:trPr>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Опцион
</w:t>
            </w:r>
          </w:p>
        </w:tc>
        <w:tc>
          <w:tcPr>
            <w:tcW w:w="4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50%
</w:t>
            </w:r>
          </w:p>
        </w:tc>
      </w:tr>
      <w:tr>
        <w:trPr>
          <w:trHeight w:val="90" w:hRule="atLeast"/>
        </w:trPr>
        <w:tc>
          <w:tcPr>
            <w:tcW w:w="8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6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Своп
</w:t>
            </w:r>
          </w:p>
        </w:tc>
        <w:tc>
          <w:tcPr>
            <w:tcW w:w="45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более 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осуществления деятельности
</w:t>
      </w:r>
      <w:r>
        <w:br/>
      </w:r>
      <w:r>
        <w:rPr>
          <w:rFonts w:ascii="Times New Roman"/>
          <w:b w:val="false"/>
          <w:i w:val="false"/>
          <w:color w:val="000000"/>
          <w:sz w:val="28"/>
        </w:rPr>
        <w:t>
                                  по инвестиционному управлению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к организации системы управления рисками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453"/>
        <w:gridCol w:w="63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требования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требования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Советом директоров утверждена долгосрочная корпоративная стратегия.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Советом директоров утверждена стратегия деятельности Организации (Фонда).
</w:t>
            </w:r>
            <w:r>
              <w:br/>
            </w:r>
            <w:r>
              <w:rPr>
                <w:rFonts w:ascii="Times New Roman"/>
                <w:b w:val="false"/>
                <w:i w:val="false"/>
                <w:color w:val="000000"/>
                <w:sz w:val="20"/>
              </w:rPr>
              <w:t>
В корпоративной стратегии 
</w:t>
            </w:r>
            <w:r>
              <w:br/>
            </w:r>
            <w:r>
              <w:rPr>
                <w:rFonts w:ascii="Times New Roman"/>
                <w:b w:val="false"/>
                <w:i w:val="false"/>
                <w:color w:val="000000"/>
                <w:sz w:val="20"/>
              </w:rPr>
              <w:t>
Организации (Фонда) 
</w:t>
            </w:r>
            <w:r>
              <w:br/>
            </w:r>
            <w:r>
              <w:rPr>
                <w:rFonts w:ascii="Times New Roman"/>
                <w:b w:val="false"/>
                <w:i w:val="false"/>
                <w:color w:val="000000"/>
                <w:sz w:val="20"/>
              </w:rPr>
              <w:t>
определены краткосрочные (менее одного года) и долгосрочные (от двух до десяти лет) цели деятельности Организации (Фонда).
</w:t>
            </w:r>
            <w:r>
              <w:br/>
            </w:r>
            <w:r>
              <w:rPr>
                <w:rFonts w:ascii="Times New Roman"/>
                <w:b w:val="false"/>
                <w:i w:val="false"/>
                <w:color w:val="000000"/>
                <w:sz w:val="20"/>
              </w:rPr>
              <w:t>
Долгосрочная стратегия 
</w:t>
            </w:r>
            <w:r>
              <w:br/>
            </w:r>
            <w:r>
              <w:rPr>
                <w:rFonts w:ascii="Times New Roman"/>
                <w:b w:val="false"/>
                <w:i w:val="false"/>
                <w:color w:val="000000"/>
                <w:sz w:val="20"/>
              </w:rPr>
              <w:t>
Организации (Фонда) составлена и постоянно совершенствуется с целью исключения факторов, ранее негативно отразившихся на деятельности Организации (Фонда).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установил политику управления деятельностью Организации (Фонда), требования которой обеспечивают эффективность корпоративного управления.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утвердил политику по урегулированию конфликта интересов в 
</w:t>
            </w:r>
            <w:r>
              <w:br/>
            </w:r>
            <w:r>
              <w:rPr>
                <w:rFonts w:ascii="Times New Roman"/>
                <w:b w:val="false"/>
                <w:i w:val="false"/>
                <w:color w:val="000000"/>
                <w:sz w:val="20"/>
              </w:rPr>
              <w:t>
Организации (Фонде).
</w:t>
            </w:r>
            <w:r>
              <w:br/>
            </w:r>
            <w:r>
              <w:rPr>
                <w:rFonts w:ascii="Times New Roman"/>
                <w:b w:val="false"/>
                <w:i w:val="false"/>
                <w:color w:val="000000"/>
                <w:sz w:val="20"/>
              </w:rPr>
              <w:t>
Совет директоров проводит мониторинг операций Организации (Фонда), связанных с рисками (кредитный риск, процентный риск, риск потери ликвидности, валютный риск), с целью исключения возможности совершения операций, противоречащих стратегии, 
</w:t>
            </w:r>
            <w:r>
              <w:br/>
            </w:r>
            <w:r>
              <w:rPr>
                <w:rFonts w:ascii="Times New Roman"/>
                <w:b w:val="false"/>
                <w:i w:val="false"/>
                <w:color w:val="000000"/>
                <w:sz w:val="20"/>
              </w:rPr>
              <w:t>
политикам и процедурам.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проводит мониторинг деятельности Организации (Фонда) посредством комитетов, созданных при совете директоров.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осуществляет контроль за соблюдением внутренних правил и процедур Организации (Фонда), исполнением отчетов внутренних и внешних аудиторов, мер воздействия и иных требований уполномоченного органа.  Инвестиционный комитет устанавливает и утверждает  правила проведения операций по купле/продаже финансовых инструментов и инвестирования,  а также определяет ориентиры по диверсификации активов, рентабельности, ликвидности и достаточности капитала Организации (Фонда). В состав комитета входят не менее трех человек, обладающих квалифи-
</w:t>
            </w:r>
            <w:r>
              <w:br/>
            </w:r>
            <w:r>
              <w:rPr>
                <w:rFonts w:ascii="Times New Roman"/>
                <w:b w:val="false"/>
                <w:i w:val="false"/>
                <w:color w:val="000000"/>
                <w:sz w:val="20"/>
              </w:rPr>
              <w:t>
кационными свидетельствами соответствующей категории.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ежемесячно получает необходимую информацию, позволяющую отслеживать финансовое состояние Организации (Фонда), проводит анализ и оценку деятельности Организации (Фонда) в отчетном месяце.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по мере необходимости, но не менее чем раз в квартал, анализирует следующие отчеты:
</w:t>
            </w:r>
            <w:r>
              <w:br/>
            </w:r>
            <w:r>
              <w:rPr>
                <w:rFonts w:ascii="Times New Roman"/>
                <w:b w:val="false"/>
                <w:i w:val="false"/>
                <w:color w:val="000000"/>
                <w:sz w:val="20"/>
              </w:rPr>
              <w:t>
сводный баланс и отчет о доходах и расходах Организации (Фонда) в сравнении с предыдущим периодом прошлых лет и запланированные показатели деятельности;
</w:t>
            </w:r>
            <w:r>
              <w:br/>
            </w:r>
            <w:r>
              <w:rPr>
                <w:rFonts w:ascii="Times New Roman"/>
                <w:b w:val="false"/>
                <w:i w:val="false"/>
                <w:color w:val="000000"/>
                <w:sz w:val="20"/>
              </w:rPr>
              <w:t>
отчеты об инвестициях: с группировкой финансовых инструментов по их видам и указанием балансовой стоимости, рыночной стоимости, доходности и общей суммы покупок и продаж;
</w:t>
            </w:r>
            <w:r>
              <w:br/>
            </w:r>
            <w:r>
              <w:rPr>
                <w:rFonts w:ascii="Times New Roman"/>
                <w:b w:val="false"/>
                <w:i w:val="false"/>
                <w:color w:val="000000"/>
                <w:sz w:val="20"/>
              </w:rPr>
              <w:t>
отчет о сравнении объема активов и обязательств накопительного пенсионного фонда (гэп анализ);
</w:t>
            </w:r>
            <w:r>
              <w:br/>
            </w:r>
            <w:r>
              <w:rPr>
                <w:rFonts w:ascii="Times New Roman"/>
                <w:b w:val="false"/>
                <w:i w:val="false"/>
                <w:color w:val="000000"/>
                <w:sz w:val="20"/>
              </w:rPr>
              <w:t>
краткий анализ позиции Организации (Фонда) по процентному риску;
</w:t>
            </w:r>
            <w:r>
              <w:br/>
            </w:r>
            <w:r>
              <w:rPr>
                <w:rFonts w:ascii="Times New Roman"/>
                <w:b w:val="false"/>
                <w:i w:val="false"/>
                <w:color w:val="000000"/>
                <w:sz w:val="20"/>
              </w:rPr>
              <w:t>
краткий анализ подверженности Организации (Фонда) риску колебаний обменных курсов валют;
</w:t>
            </w:r>
            <w:r>
              <w:br/>
            </w:r>
            <w:r>
              <w:rPr>
                <w:rFonts w:ascii="Times New Roman"/>
                <w:b w:val="false"/>
                <w:i w:val="false"/>
                <w:color w:val="000000"/>
                <w:sz w:val="20"/>
              </w:rPr>
              <w:t>
краткий анализ текущих и прогнозируемых потребностей Организации (Фонда) в собственном капитале.
</w:t>
            </w:r>
            <w:r>
              <w:br/>
            </w:r>
            <w:r>
              <w:rPr>
                <w:rFonts w:ascii="Times New Roman"/>
                <w:b w:val="false"/>
                <w:i w:val="false"/>
                <w:color w:val="000000"/>
                <w:sz w:val="20"/>
              </w:rPr>
              <w:t>
Совет директоров проводит контроль с выяснением причин невыполнения мер воздействия и иных требований уполномоченного органа, в том числе плана мероприятий по устранению недостатков в 
</w:t>
            </w:r>
            <w:r>
              <w:br/>
            </w:r>
            <w:r>
              <w:rPr>
                <w:rFonts w:ascii="Times New Roman"/>
                <w:b w:val="false"/>
                <w:i w:val="false"/>
                <w:color w:val="000000"/>
                <w:sz w:val="20"/>
              </w:rPr>
              <w:t>
деятельности Организации (Фонда).
</w:t>
            </w:r>
          </w:p>
        </w:tc>
      </w:tr>
      <w:tr>
        <w:trPr>
          <w:trHeight w:val="174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ежегодно анализирует возможные конфликты интересов в функциональных обязанностях руководящих работников Организации (Фонда).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анализирует ежегодные отчеты по функциональным обязан-
</w:t>
            </w:r>
            <w:r>
              <w:br/>
            </w:r>
            <w:r>
              <w:rPr>
                <w:rFonts w:ascii="Times New Roman"/>
                <w:b w:val="false"/>
                <w:i w:val="false"/>
                <w:color w:val="000000"/>
                <w:sz w:val="20"/>
              </w:rPr>
              <w:t>
ностям руководящих работников Организации (Фонда).
</w:t>
            </w:r>
          </w:p>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ежегодно анализирует деятельность правления в течение отчетного года.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ежегодно анализирует деятельность правления на предмет достижения Организацией (Фондом) запланированных на текущий финансовый год целей. Совет директоров в пределах своих полномочий может применить меры к членам правления Организации (Фонда) в случае несоответствия результатов деятельности Организации (Фонда) целевым показателям текущего года.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устанавливает процедуры формирования организационно-функцио-
</w:t>
            </w:r>
            <w:r>
              <w:br/>
            </w:r>
            <w:r>
              <w:rPr>
                <w:rFonts w:ascii="Times New Roman"/>
                <w:b w:val="false"/>
                <w:i w:val="false"/>
                <w:color w:val="000000"/>
                <w:sz w:val="20"/>
              </w:rPr>
              <w:t>
нальной структуры управления Организацией (Фондом).
</w:t>
            </w:r>
            <w:r>
              <w:br/>
            </w:r>
            <w:r>
              <w:rPr>
                <w:rFonts w:ascii="Times New Roman"/>
                <w:b w:val="false"/>
                <w:i w:val="false"/>
                <w:color w:val="000000"/>
                <w:sz w:val="20"/>
              </w:rPr>
              <w:t>
Организационная структура (схема организационной структуры) необязательно включает каждого служащего Организации (Фонда), но в нее должны войти все руководящие работники Организации (Фонда).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Схема организационно- функциональной структуры Организации (Фонда), в том числе регламентирует:   полномочия и обязанности подразделения Организации (Фонда) или лица по управлению рисками, отвечающих за независимую оценку и анализ основных рисков, связанных с проводимыми Организацией (Фондом) операций;
</w:t>
            </w:r>
            <w:r>
              <w:br/>
            </w:r>
            <w:r>
              <w:rPr>
                <w:rFonts w:ascii="Times New Roman"/>
                <w:b w:val="false"/>
                <w:i w:val="false"/>
                <w:color w:val="000000"/>
                <w:sz w:val="20"/>
              </w:rPr>
              <w:t>
структуру органов управления Организации (Фонда), соответствующую их функциональным обязанностям;   должностные обязанности и полномочия каждого руководящего работника Организации (Фонда);
</w:t>
            </w:r>
            <w:r>
              <w:br/>
            </w:r>
            <w:r>
              <w:rPr>
                <w:rFonts w:ascii="Times New Roman"/>
                <w:b w:val="false"/>
                <w:i w:val="false"/>
                <w:color w:val="000000"/>
                <w:sz w:val="20"/>
              </w:rPr>
              <w:t>
порядок оценки деятельности руководящего работника Организации (Фонда) (за исключением членов правления) в течение отчетного года, в том числе применение мер или привлечение к ответственности за невыполнение Организацией (Фондом) целевых показателей деятельности Организации (Фонда).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утверждает порядок составления годового бюджета/финансового плана на краткосрочный период и стратегического планирования на долгосрочный период, с учетом будущих экономических условий Республики Казахстан,  зарубежных стран, резиденты которых являются клиентами Организации (Фонда) и конъюнктуры мировых финансовых и товарных рынков.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Составление годовых бюджетов и стратегических планов проводится правлением с учетом текущей и будущей конкурентной, экономической среды и нормативной правовой базы, дополнительно необхо- димого размера капитала Организации (Фонда).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идентифицирует и оценивает потенциальные и возможные риски, связанные с проводимыми Организацией (Фондом) операциями, применяет регламентированные процедуры управления рисками.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Организации (Фонда), осуществляющее функции управления рисками, использует методику оценки влияния на пенсионные активы, доходность и ликвидность в случае отрицательной динамики внешнего и внутреннего рынка финансовых активов.
</w:t>
            </w:r>
            <w:r>
              <w:br/>
            </w:r>
            <w:r>
              <w:rPr>
                <w:rFonts w:ascii="Times New Roman"/>
                <w:b w:val="false"/>
                <w:i w:val="false"/>
                <w:color w:val="000000"/>
                <w:sz w:val="20"/>
              </w:rPr>
              <w:t>
Правление идентифицирует и анализирует внутренние и внешние экономические факторы, представляющие потенциальный и возможный риск, оценивает степень их влияния на финансовые показатели Организации (Фонда).
</w:t>
            </w:r>
            <w:r>
              <w:br/>
            </w:r>
            <w:r>
              <w:rPr>
                <w:rFonts w:ascii="Times New Roman"/>
                <w:b w:val="false"/>
                <w:i w:val="false"/>
                <w:color w:val="000000"/>
                <w:sz w:val="20"/>
              </w:rPr>
              <w:t>
В части совокупных лимитов, утвержденных советом директоров, правление определяет лимиты на допустимый размер рисков в отдельности по видам проводимых операций, принимает эффективные меры контроля соблюдения Организацией (Фондом) указанных лимитов.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осуществляет контроль возможных и потенциальных рисков Организации (Фонда).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контролирует соблюдение совокупных лимитов по видам рисков на основе их ежемесячного расчета.
</w:t>
            </w:r>
            <w:r>
              <w:br/>
            </w:r>
            <w:r>
              <w:rPr>
                <w:rFonts w:ascii="Times New Roman"/>
                <w:b w:val="false"/>
                <w:i w:val="false"/>
                <w:color w:val="000000"/>
                <w:sz w:val="20"/>
              </w:rPr>
              <w:t>
Правление контролирует соблюдение подразделениями Организации (Фонда) политик в управлении возможными и потенциальными рисками, осуществляет мониторинг соблюдения подразделениями Организации (Фонда) размеров 
</w:t>
            </w:r>
            <w:r>
              <w:br/>
            </w:r>
            <w:r>
              <w:rPr>
                <w:rFonts w:ascii="Times New Roman"/>
                <w:b w:val="false"/>
                <w:i w:val="false"/>
                <w:color w:val="000000"/>
                <w:sz w:val="20"/>
              </w:rPr>
              <w:t>
рисков в пределах установленных для них лимитов.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политикой диверсификации (распреде- ления) рисков, возможных на рынке ценных бумаг.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применяет политику распределения рисков по видам проводимых им операций, то есть формирования структуры и объема проводимых операций с финансовыми операциями с учетом связанного с ними риска в целях сохранения необходимого уровня достаточности собственного капитала и платежеспособности, и контролирует их выполнение ответственными подразделениями Организации (Фонда).
</w:t>
            </w:r>
            <w:r>
              <w:br/>
            </w:r>
            <w:r>
              <w:rPr>
                <w:rFonts w:ascii="Times New Roman"/>
                <w:b w:val="false"/>
                <w:i w:val="false"/>
                <w:color w:val="000000"/>
                <w:sz w:val="20"/>
              </w:rPr>
              <w:t>
Организация (Фонд) располагает организационно-функциональной и операционной структурой, которая обеспечивает реали- зацию политики диверсификации, а также позволяет осуществлять мониторинг соблюдения норм диверсификации, установленным уполномоченным органом.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Организационная и функциональная структура Организации (Фонда), процедуры принятия решений по финансовой деятельности Организации (Фонда) регламентированы внутренней политикой Организации (Фонда).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Политика управления рисками предусматривает:
</w:t>
            </w:r>
            <w:r>
              <w:br/>
            </w:r>
            <w:r>
              <w:rPr>
                <w:rFonts w:ascii="Times New Roman"/>
                <w:b w:val="false"/>
                <w:i w:val="false"/>
                <w:color w:val="000000"/>
                <w:sz w:val="20"/>
              </w:rPr>
              <w:t>
положения, регламентирующие полномочия и функциональные обязанности руководящих работников Организации (Фонда), в том числе предусматривающие обеспечение двойного контроля правильности совершения операций по купле/продаже финансовых инструментов и контроля связанного с ними риска.
</w:t>
            </w:r>
            <w:r>
              <w:br/>
            </w:r>
            <w:r>
              <w:rPr>
                <w:rFonts w:ascii="Times New Roman"/>
                <w:b w:val="false"/>
                <w:i w:val="false"/>
                <w:color w:val="000000"/>
                <w:sz w:val="20"/>
              </w:rPr>
              <w:t>
Служба внутреннего аудита проводит проверки руководящих работников на предмет выявления концентрации у них полномочий и функций по управлению деятельностью Организации (Фонда), а также соответствия проводимых операций утвержденной корпоративной стратегии, политикам и процедурам Организации (Фонда).
</w:t>
            </w:r>
            <w:r>
              <w:br/>
            </w:r>
            <w:r>
              <w:rPr>
                <w:rFonts w:ascii="Times New Roman"/>
                <w:b w:val="false"/>
                <w:i w:val="false"/>
                <w:color w:val="000000"/>
                <w:sz w:val="20"/>
              </w:rPr>
              <w:t>
Политики по управлению рисками определяют полномочия и функциональные обязанности по управлению рисками членов совета директоров, правления и ответственных работников Организации (Фонда).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системой управленческого учета и отчетности, позволяющей правлению и совету директоров периодически получать информацию о текущей финансовой деятельности Организации (Фонда) и размеров, принятых Организацией (Фондом) рисков.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Форматы информации о текущем финансовом состоянии Организации (Фонда) и принятых ею рисков стандартизованы в виде определенных форм управленческой отчетности, которые в том числе идентифицируют и измеряют 
</w:t>
            </w:r>
            <w:r>
              <w:br/>
            </w:r>
            <w:r>
              <w:rPr>
                <w:rFonts w:ascii="Times New Roman"/>
                <w:b w:val="false"/>
                <w:i w:val="false"/>
                <w:color w:val="000000"/>
                <w:sz w:val="20"/>
              </w:rPr>
              <w:t>
кредитный, процентный риски, риск потери ликвидности, валютный, страновой (трансфертный) риски, а также определяют степень подвержен- ности рискам, сохранение их в пределах установленных лимитов.
</w:t>
            </w:r>
            <w:r>
              <w:br/>
            </w:r>
            <w:r>
              <w:rPr>
                <w:rFonts w:ascii="Times New Roman"/>
                <w:b w:val="false"/>
                <w:i w:val="false"/>
                <w:color w:val="000000"/>
                <w:sz w:val="20"/>
              </w:rPr>
              <w:t>
Перечень управленческой информации, представляемой совету директоров и правлению Организации (Фонда), доста- точнен для надлежащего исполнения советом директоров и правлением Организации (Фонда) собственных функциональных обязанностей по управлению рисками.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Внутренней политикой Организации (Фонда) по управлению рисками, в том числе устанавливаются квалификационные требования к работникам,  функции которых предусматривают выполнение процедур по управлению рисками.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Персонал подразделения по управлению рисками соответ- ствует квалификационным требованиям к руководящим работникам, в том числе предусматривающим наличие стажа, соответствующей квалификации и опыта работы для осуществления функциональных обязанностей по управлению рисками.
</w:t>
            </w:r>
            <w:r>
              <w:br/>
            </w:r>
            <w:r>
              <w:rPr>
                <w:rFonts w:ascii="Times New Roman"/>
                <w:b w:val="false"/>
                <w:i w:val="false"/>
                <w:color w:val="000000"/>
                <w:sz w:val="20"/>
              </w:rPr>
              <w:t>
Функциональные обязанности персонала подразделения Организации (Фонда) по управлению рисками и службы внутреннего аудита соответствуют проводимым ими 
</w:t>
            </w:r>
            <w:r>
              <w:br/>
            </w:r>
            <w:r>
              <w:rPr>
                <w:rFonts w:ascii="Times New Roman"/>
                <w:b w:val="false"/>
                <w:i w:val="false"/>
                <w:color w:val="000000"/>
                <w:sz w:val="20"/>
              </w:rPr>
              <w:t>
операциям.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утверждает внутренние политики, регламентирующие работы с активами вкладчиков (получателей), учет пенсионных накоплений, инвестиционную политику, политику использования методики хеджирования.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Политики Организации (Фонда) по работе с пенсионными 
</w:t>
            </w:r>
            <w:r>
              <w:br/>
            </w:r>
            <w:r>
              <w:rPr>
                <w:rFonts w:ascii="Times New Roman"/>
                <w:b w:val="false"/>
                <w:i w:val="false"/>
                <w:color w:val="000000"/>
                <w:sz w:val="20"/>
              </w:rPr>
              <w:t>
активами включают:
</w:t>
            </w:r>
            <w:r>
              <w:br/>
            </w:r>
            <w:r>
              <w:rPr>
                <w:rFonts w:ascii="Times New Roman"/>
                <w:b w:val="false"/>
                <w:i w:val="false"/>
                <w:color w:val="000000"/>
                <w:sz w:val="20"/>
              </w:rPr>
              <w:t>
процедуры проверки соответствия договоров о 
</w:t>
            </w:r>
            <w:r>
              <w:br/>
            </w:r>
            <w:r>
              <w:rPr>
                <w:rFonts w:ascii="Times New Roman"/>
                <w:b w:val="false"/>
                <w:i w:val="false"/>
                <w:color w:val="000000"/>
                <w:sz w:val="20"/>
              </w:rPr>
              <w:t>
пенсионном обеспечении законодательству Республики Казахстан;
</w:t>
            </w:r>
            <w:r>
              <w:br/>
            </w:r>
            <w:r>
              <w:rPr>
                <w:rFonts w:ascii="Times New Roman"/>
                <w:b w:val="false"/>
                <w:i w:val="false"/>
                <w:color w:val="000000"/>
                <w:sz w:val="20"/>
              </w:rPr>
              <w:t>
процедуры, обеспечивающие достоверность учета и своевременность поступления средств на  индивидуальные пенсионные счета вкладчиков (получателей), выплат и переводов пенсионных накоплений;
</w:t>
            </w:r>
            <w:r>
              <w:br/>
            </w:r>
            <w:r>
              <w:rPr>
                <w:rFonts w:ascii="Times New Roman"/>
                <w:b w:val="false"/>
                <w:i w:val="false"/>
                <w:color w:val="000000"/>
                <w:sz w:val="20"/>
              </w:rPr>
              <w:t>
процедуры, гарантирующие рассмотрение в установленный срок претензий вкладчиков (получателей) по договорам о пенсионном обеспечении, своевременность восстановления потери пенсионных накоплений в момент  их перевода или выплаты;
</w:t>
            </w:r>
            <w:r>
              <w:br/>
            </w:r>
            <w:r>
              <w:rPr>
                <w:rFonts w:ascii="Times New Roman"/>
                <w:b w:val="false"/>
                <w:i w:val="false"/>
                <w:color w:val="000000"/>
                <w:sz w:val="20"/>
              </w:rPr>
              <w:t>
процедуры, обеспечивающие мониторинг соответствия учета пенсионных активов и своевременности инвестирования пенсионных активов требованиям законодательства Республики Казахстан;
</w:t>
            </w:r>
            <w:r>
              <w:br/>
            </w:r>
            <w:r>
              <w:rPr>
                <w:rFonts w:ascii="Times New Roman"/>
                <w:b w:val="false"/>
                <w:i w:val="false"/>
                <w:color w:val="000000"/>
                <w:sz w:val="20"/>
              </w:rPr>
              <w:t>
проверку правильности начисления и выплаты комиссионного вознаграждения фондом;
</w:t>
            </w:r>
            <w:r>
              <w:br/>
            </w:r>
            <w:r>
              <w:rPr>
                <w:rFonts w:ascii="Times New Roman"/>
                <w:b w:val="false"/>
                <w:i w:val="false"/>
                <w:color w:val="000000"/>
                <w:sz w:val="20"/>
              </w:rPr>
              <w:t>
инвестиционную политику, которая включает:
</w:t>
            </w:r>
            <w:r>
              <w:br/>
            </w:r>
            <w:r>
              <w:rPr>
                <w:rFonts w:ascii="Times New Roman"/>
                <w:b w:val="false"/>
                <w:i w:val="false"/>
                <w:color w:val="000000"/>
                <w:sz w:val="20"/>
              </w:rPr>
              <w:t>
порядок принятия инвестиционных решений в 
</w:t>
            </w:r>
            <w:r>
              <w:br/>
            </w:r>
            <w:r>
              <w:rPr>
                <w:rFonts w:ascii="Times New Roman"/>
                <w:b w:val="false"/>
                <w:i w:val="false"/>
                <w:color w:val="000000"/>
                <w:sz w:val="20"/>
              </w:rPr>
              <w:t>
отношении пенсионных активов; порядок совершения сделок с 
</w:t>
            </w:r>
            <w:r>
              <w:br/>
            </w:r>
            <w:r>
              <w:rPr>
                <w:rFonts w:ascii="Times New Roman"/>
                <w:b w:val="false"/>
                <w:i w:val="false"/>
                <w:color w:val="000000"/>
                <w:sz w:val="20"/>
              </w:rPr>
              <w:t>
участием пенсионных активов и 
</w:t>
            </w:r>
            <w:r>
              <w:br/>
            </w:r>
            <w:r>
              <w:rPr>
                <w:rFonts w:ascii="Times New Roman"/>
                <w:b w:val="false"/>
                <w:i w:val="false"/>
                <w:color w:val="000000"/>
                <w:sz w:val="20"/>
              </w:rPr>
              <w:t>
осуществления контроля за их 
</w:t>
            </w:r>
            <w:r>
              <w:br/>
            </w:r>
            <w:r>
              <w:rPr>
                <w:rFonts w:ascii="Times New Roman"/>
                <w:b w:val="false"/>
                <w:i w:val="false"/>
                <w:color w:val="000000"/>
                <w:sz w:val="20"/>
              </w:rPr>
              <w:t>
совершением;
</w:t>
            </w:r>
            <w:r>
              <w:br/>
            </w:r>
            <w:r>
              <w:rPr>
                <w:rFonts w:ascii="Times New Roman"/>
                <w:b w:val="false"/>
                <w:i w:val="false"/>
                <w:color w:val="000000"/>
                <w:sz w:val="20"/>
              </w:rPr>
              <w:t>
порядок внутреннего контроля
</w:t>
            </w:r>
            <w:r>
              <w:br/>
            </w:r>
            <w:r>
              <w:rPr>
                <w:rFonts w:ascii="Times New Roman"/>
                <w:b w:val="false"/>
                <w:i w:val="false"/>
                <w:color w:val="000000"/>
                <w:sz w:val="20"/>
              </w:rPr>
              <w:t>
за обеспечением целостности 
</w:t>
            </w:r>
            <w:r>
              <w:br/>
            </w:r>
            <w:r>
              <w:rPr>
                <w:rFonts w:ascii="Times New Roman"/>
                <w:b w:val="false"/>
                <w:i w:val="false"/>
                <w:color w:val="000000"/>
                <w:sz w:val="20"/>
              </w:rPr>
              <w:t>
данных и конфиденциальностью 
</w:t>
            </w:r>
            <w:r>
              <w:br/>
            </w:r>
            <w:r>
              <w:rPr>
                <w:rFonts w:ascii="Times New Roman"/>
                <w:b w:val="false"/>
                <w:i w:val="false"/>
                <w:color w:val="000000"/>
                <w:sz w:val="20"/>
              </w:rPr>
              <w:t>
информации;
</w:t>
            </w:r>
            <w:r>
              <w:br/>
            </w:r>
            <w:r>
              <w:rPr>
                <w:rFonts w:ascii="Times New Roman"/>
                <w:b w:val="false"/>
                <w:i w:val="false"/>
                <w:color w:val="000000"/>
                <w:sz w:val="20"/>
              </w:rPr>
              <w:t>
процедуры принятия инвестиционных решений, а также выдачи рекомендаций для принятия инвестиционных решений;
</w:t>
            </w:r>
            <w:r>
              <w:br/>
            </w:r>
            <w:r>
              <w:rPr>
                <w:rFonts w:ascii="Times New Roman"/>
                <w:b w:val="false"/>
                <w:i w:val="false"/>
                <w:color w:val="000000"/>
                <w:sz w:val="20"/>
              </w:rPr>
              <w:t>
политику и процедуры хеджирования финансовых инструментов, приобретенных за счет пенсионных активов;
</w:t>
            </w:r>
            <w:r>
              <w:br/>
            </w:r>
            <w:r>
              <w:rPr>
                <w:rFonts w:ascii="Times New Roman"/>
                <w:b w:val="false"/>
                <w:i w:val="false"/>
                <w:color w:val="000000"/>
                <w:sz w:val="20"/>
              </w:rPr>
              <w:t>
размеры комиссионного вознаграждения Организации (Фонда), взимаемого от пенсионных активов и инвестиционных доходов, а также условия предоставления данной информации вкладчикам (получателям).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периодически, но не менее чем один раз в год, проводит внутренние аудиторские проверки подразделений Организации (Фонда), осуществляющих функции по совершению операций с финансовыми операциями, в том числе в целях улучшения систем управления рисками.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Политика Организации (Фонда) по внутреннему аудиту определяет:
</w:t>
            </w:r>
            <w:r>
              <w:br/>
            </w:r>
            <w:r>
              <w:rPr>
                <w:rFonts w:ascii="Times New Roman"/>
                <w:b w:val="false"/>
                <w:i w:val="false"/>
                <w:color w:val="000000"/>
                <w:sz w:val="20"/>
              </w:rPr>
              <w:t>
все риски, которым подвержена Организация (Фонд);
</w:t>
            </w:r>
            <w:r>
              <w:br/>
            </w:r>
            <w:r>
              <w:rPr>
                <w:rFonts w:ascii="Times New Roman"/>
                <w:b w:val="false"/>
                <w:i w:val="false"/>
                <w:color w:val="000000"/>
                <w:sz w:val="20"/>
              </w:rPr>
              <w:t>
масштаб и частоту проведения внутреннего аудита;
</w:t>
            </w:r>
            <w:r>
              <w:br/>
            </w:r>
            <w:r>
              <w:rPr>
                <w:rFonts w:ascii="Times New Roman"/>
                <w:b w:val="false"/>
                <w:i w:val="false"/>
                <w:color w:val="000000"/>
                <w:sz w:val="20"/>
              </w:rPr>
              <w:t>
рейтинговую систему, используемую при проведении внутреннего аудита;
</w:t>
            </w:r>
            <w:r>
              <w:br/>
            </w:r>
            <w:r>
              <w:rPr>
                <w:rFonts w:ascii="Times New Roman"/>
                <w:b w:val="false"/>
                <w:i w:val="false"/>
                <w:color w:val="000000"/>
                <w:sz w:val="20"/>
              </w:rPr>
              <w:t>
требования к составлению плана проведения внутреннего 
</w:t>
            </w:r>
            <w:r>
              <w:br/>
            </w:r>
            <w:r>
              <w:rPr>
                <w:rFonts w:ascii="Times New Roman"/>
                <w:b w:val="false"/>
                <w:i w:val="false"/>
                <w:color w:val="000000"/>
                <w:sz w:val="20"/>
              </w:rPr>
              <w:t>
аудита Организации (Фонда).
</w:t>
            </w:r>
            <w:r>
              <w:br/>
            </w:r>
            <w:r>
              <w:rPr>
                <w:rFonts w:ascii="Times New Roman"/>
                <w:b w:val="false"/>
                <w:i w:val="false"/>
                <w:color w:val="000000"/>
                <w:sz w:val="20"/>
              </w:rPr>
              <w:t>
Служба внутреннего аудита в соответствии с политиками аудита проводит регулярные внутренние проверки всех подразделений Организации (Фонда), функции которых предусматривают проведение операций с финансовыми инструментами.
</w:t>
            </w:r>
            <w:r>
              <w:br/>
            </w:r>
            <w:r>
              <w:rPr>
                <w:rFonts w:ascii="Times New Roman"/>
                <w:b w:val="false"/>
                <w:i w:val="false"/>
                <w:color w:val="000000"/>
                <w:sz w:val="20"/>
              </w:rPr>
              <w:t>
Служба внутреннего аудита в соответствии с политиками аудита проводит регулярные внутренние проверки операций, совершаемых за счет пенсионных активов, правильность совершения сделок с участием пенсионных активов  и осуществления сверок с банками-кастодианами и фондами, правильность ведения учета и документооборота.
</w:t>
            </w:r>
            <w:r>
              <w:br/>
            </w:r>
            <w:r>
              <w:rPr>
                <w:rFonts w:ascii="Times New Roman"/>
                <w:b w:val="false"/>
                <w:i w:val="false"/>
                <w:color w:val="000000"/>
                <w:sz w:val="20"/>
              </w:rPr>
              <w:t>
Служба внутреннего аудита на регулярной основе проводит проверки достоверности информации содержащейся в журналах учета сделок с участием пенсионных активов.
</w:t>
            </w:r>
            <w:r>
              <w:br/>
            </w:r>
            <w:r>
              <w:rPr>
                <w:rFonts w:ascii="Times New Roman"/>
                <w:b w:val="false"/>
                <w:i w:val="false"/>
                <w:color w:val="000000"/>
                <w:sz w:val="20"/>
              </w:rPr>
              <w:t>
Персонал службы внутреннего аудита соответствует квалификационным требованиям Организации (Фонда), а также обладает опытом работы и необходимыми знаниями о деятельности подразделений Организации (Фонда), в которых проводятся проверки.
</w:t>
            </w:r>
            <w:r>
              <w:br/>
            </w:r>
            <w:r>
              <w:rPr>
                <w:rFonts w:ascii="Times New Roman"/>
                <w:b w:val="false"/>
                <w:i w:val="false"/>
                <w:color w:val="000000"/>
                <w:sz w:val="20"/>
              </w:rPr>
              <w:t>
Внутренними политиками Организации (Фонда) предусматривается право  доступа службы внутреннего аудита  ко всем необходимым документам, связанным с деятельностью проверяемого подразделения, в том числе составляющим коммерческую или иную охраняемую законом тайну, или имеющую режим конфиденциальности.
</w:t>
            </w:r>
            <w:r>
              <w:br/>
            </w:r>
            <w:r>
              <w:rPr>
                <w:rFonts w:ascii="Times New Roman"/>
                <w:b w:val="false"/>
                <w:i w:val="false"/>
                <w:color w:val="000000"/>
                <w:sz w:val="20"/>
              </w:rPr>
              <w:t>
Внутренними политиками Организации (Фонда) по 
</w:t>
            </w:r>
            <w:r>
              <w:br/>
            </w:r>
            <w:r>
              <w:rPr>
                <w:rFonts w:ascii="Times New Roman"/>
                <w:b w:val="false"/>
                <w:i w:val="false"/>
                <w:color w:val="000000"/>
                <w:sz w:val="20"/>
              </w:rPr>
              <w:t>
внутреннему аудиту устанавливается независимость исполнения функциональных 
</w:t>
            </w:r>
            <w:r>
              <w:br/>
            </w:r>
            <w:r>
              <w:rPr>
                <w:rFonts w:ascii="Times New Roman"/>
                <w:b w:val="false"/>
                <w:i w:val="false"/>
                <w:color w:val="000000"/>
                <w:sz w:val="20"/>
              </w:rPr>
              <w:t>
обязанностей от руководящих работников или других подразделений Организации (Фонда), и подотчетность службы внутреннего аудита совету директоров.
</w:t>
            </w:r>
            <w:r>
              <w:br/>
            </w:r>
            <w:r>
              <w:rPr>
                <w:rFonts w:ascii="Times New Roman"/>
                <w:b w:val="false"/>
                <w:i w:val="false"/>
                <w:color w:val="000000"/>
                <w:sz w:val="20"/>
              </w:rPr>
              <w:t>
Служба внутреннего аудита совместно с внешним аудитором Организации (Фонда), не реже одного раза в год, проводит совместные встречи для обсуждения выявленных  внутренним или внешним аудитором недостатков в системе внутреннего контроля Организации (Фонда).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анализирует отчет службы внутреннего аудита по результатам каждой проверки и представляет совету директоров предложения по принятию соответствующих мер по устранению выявленных недостатков.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Политиками внутреннего аудита предусматриваются опти-
</w:t>
            </w:r>
            <w:r>
              <w:br/>
            </w:r>
            <w:r>
              <w:rPr>
                <w:rFonts w:ascii="Times New Roman"/>
                <w:b w:val="false"/>
                <w:i w:val="false"/>
                <w:color w:val="000000"/>
                <w:sz w:val="20"/>
              </w:rPr>
              <w:t>
мальные сроки представления службой внутреннего аудита результатов каждой проверки совету директоров и правлению Организации (Фонда).
</w:t>
            </w:r>
            <w:r>
              <w:br/>
            </w:r>
            <w:r>
              <w:rPr>
                <w:rFonts w:ascii="Times New Roman"/>
                <w:b w:val="false"/>
                <w:i w:val="false"/>
                <w:color w:val="000000"/>
                <w:sz w:val="20"/>
              </w:rPr>
              <w:t>
Полномочия службы внутреннего аудита предусматривают подготовку предложений по результатам проведенной проверки, исполнение которых является обязательным для подразделений, при этом способы и условия их осуществления определяются непосредственно подразде-
</w:t>
            </w:r>
            <w:r>
              <w:br/>
            </w:r>
            <w:r>
              <w:rPr>
                <w:rFonts w:ascii="Times New Roman"/>
                <w:b w:val="false"/>
                <w:i w:val="false"/>
                <w:color w:val="000000"/>
                <w:sz w:val="20"/>
              </w:rPr>
              <w:t>
лениями и утверждаются Правлением Организации (Фонда).
</w:t>
            </w:r>
            <w:r>
              <w:br/>
            </w:r>
            <w:r>
              <w:rPr>
                <w:rFonts w:ascii="Times New Roman"/>
                <w:b w:val="false"/>
                <w:i w:val="false"/>
                <w:color w:val="000000"/>
                <w:sz w:val="20"/>
              </w:rPr>
              <w:t>
Служба внутреннего аудита осуществляет мониторинг проводимых и планируемых подразделениями Организации (Фонда) мероприятий, предпринимаемых по результатам внутреннего аудита, с целью их оптимального выполнения.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и руководители подразделений Организации (Фонда), ответственных за осуществление  операций с финансовыми инструментами, проводят ежемесячный мониторинг доходов (расходов) Организации (Фонда), в целях сохранения их  в пределах лимитов, утвержденных советом директоров Организации (Фонда).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Внутренними политиками установлено подразделение Организации (Фонда), которое ежемесячно отслеживает доходы (расходы) Организации (Фонда), в том числе в динамике, в разрезе, по видам деятель-
</w:t>
            </w:r>
            <w:r>
              <w:br/>
            </w:r>
            <w:r>
              <w:rPr>
                <w:rFonts w:ascii="Times New Roman"/>
                <w:b w:val="false"/>
                <w:i w:val="false"/>
                <w:color w:val="000000"/>
                <w:sz w:val="20"/>
              </w:rPr>
              <w:t>
ности, территориальным и функциональным подразделениям Организации (Фонда).
</w:t>
            </w:r>
            <w:r>
              <w:br/>
            </w:r>
            <w:r>
              <w:rPr>
                <w:rFonts w:ascii="Times New Roman"/>
                <w:b w:val="false"/>
                <w:i w:val="false"/>
                <w:color w:val="000000"/>
                <w:sz w:val="20"/>
              </w:rPr>
              <w:t>
Внутренними политиками предусмотрены полномочия подразделений Организации (Фонда) по управлению доходами (расходами), связанных с деятельностью подразделения, в пределах совокупных лимитов, установленных советом директоров.
</w:t>
            </w:r>
            <w:r>
              <w:br/>
            </w:r>
            <w:r>
              <w:rPr>
                <w:rFonts w:ascii="Times New Roman"/>
                <w:b w:val="false"/>
                <w:i w:val="false"/>
                <w:color w:val="000000"/>
                <w:sz w:val="20"/>
              </w:rPr>
              <w:t>
Подразделения проводят оценку (начисление) ожидаемых доходов Организации (Фонда) с учетом принимаемого риска.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проводит мониторинг распределения финансовых ресурсов по подразделениям Организации (Фонда), ответственным за осуществление операций с финансовыми инструментами, с соблюдением установленных советом директоров Организации (Фонда) допустимых лимитов, в том числе в отношении  риска и доходности, риска и собственного капитала Организации (Фонда).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обеспечивает соответствие собственного капитала Организации (Фонда) минимально требуемому уровню в соответствии с законо-
</w:t>
            </w:r>
            <w:r>
              <w:br/>
            </w:r>
            <w:r>
              <w:rPr>
                <w:rFonts w:ascii="Times New Roman"/>
                <w:b w:val="false"/>
                <w:i w:val="false"/>
                <w:color w:val="000000"/>
                <w:sz w:val="20"/>
              </w:rPr>
              <w:t>
дательством Республики Казахстан.
</w:t>
            </w:r>
            <w:r>
              <w:br/>
            </w:r>
            <w:r>
              <w:rPr>
                <w:rFonts w:ascii="Times New Roman"/>
                <w:b w:val="false"/>
                <w:i w:val="false"/>
                <w:color w:val="000000"/>
                <w:sz w:val="20"/>
              </w:rPr>
              <w:t>
Правлением в пределах совокупных лимитов рисков, установленных советом директоров, определяются лимиты риска для каждого из подразделений Организации (Фонда), осуществляющих финансовые операции.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осуществляет регулярный мониторинг соблюдения Организацией (Фондом) договорных отношений, нормативных правовых актов уполномоченного органа, требований законодательства Республики Казахстан,   внутренних политик проведения операций с финансовыми инструментами за счет пенсионных активов.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по результатам проводимых проверок определяет уровень владения персоналом Организации (Фонда) знаниями нормативных правовых актов Республики Казахстан, регулирующих деятельность Организации (Фонда), международных стандартов, законодательства Республики Казахстан в области пенсионного обеспечения.
</w:t>
            </w:r>
            <w:r>
              <w:br/>
            </w:r>
            <w:r>
              <w:rPr>
                <w:rFonts w:ascii="Times New Roman"/>
                <w:b w:val="false"/>
                <w:i w:val="false"/>
                <w:color w:val="000000"/>
                <w:sz w:val="20"/>
              </w:rPr>
              <w:t>
Служба внутреннего аудита проводит оценку возможности появления дополнительных существенных рисков Организации (Фонда), связанных с соблюдением нормативных правовых актов Республики Казахстан, регулирующих 
</w:t>
            </w:r>
            <w:r>
              <w:br/>
            </w:r>
            <w:r>
              <w:rPr>
                <w:rFonts w:ascii="Times New Roman"/>
                <w:b w:val="false"/>
                <w:i w:val="false"/>
                <w:color w:val="000000"/>
                <w:sz w:val="20"/>
              </w:rPr>
              <w:t>
деятельность Организации (Фонда), при внедрении новых видов финансовых услуг.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представляет совету директоров и акционерам Организации (Фонда) финансовую и управленческую отчетность о деятельности Организации (Фонда), отчет по инвестиционным решениям.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Советом директоров утверждены формы и сроки  представления правлением совету директоров и акционерам Организации (Фонда) финансовой и управленческой отчетности, обеспечивающей возможность оценки финансовых показателей Организации (Фонда).
</w:t>
            </w:r>
            <w:r>
              <w:br/>
            </w:r>
            <w:r>
              <w:rPr>
                <w:rFonts w:ascii="Times New Roman"/>
                <w:b w:val="false"/>
                <w:i w:val="false"/>
                <w:color w:val="000000"/>
                <w:sz w:val="20"/>
              </w:rPr>
              <w:t>
Совет директоров на регулярной основе анализирует инвестиционные решения и 
</w:t>
            </w:r>
            <w:r>
              <w:br/>
            </w:r>
            <w:r>
              <w:rPr>
                <w:rFonts w:ascii="Times New Roman"/>
                <w:b w:val="false"/>
                <w:i w:val="false"/>
                <w:color w:val="000000"/>
                <w:sz w:val="20"/>
              </w:rPr>
              <w:t>
рекомендации к ним.
</w:t>
            </w:r>
            <w:r>
              <w:br/>
            </w:r>
            <w:r>
              <w:rPr>
                <w:rFonts w:ascii="Times New Roman"/>
                <w:b w:val="false"/>
                <w:i w:val="false"/>
                <w:color w:val="000000"/>
                <w:sz w:val="20"/>
              </w:rPr>
              <w:t>
Совет директоров анализирует заключения внешних аудиторов по улучшению внутреннего контроля и управлению рисками.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регулярно проводит улучшение системы учета и отчетности Организации (Фонда) на основе заключений независимых международных аудиторских организаций.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Политики Организации (Фонда) по учету и отчетности, в том числе предусматривают в ходе аудита Организации (Фонда) проверку следующих вопросов:
</w:t>
            </w:r>
            <w:r>
              <w:br/>
            </w:r>
            <w:r>
              <w:rPr>
                <w:rFonts w:ascii="Times New Roman"/>
                <w:b w:val="false"/>
                <w:i w:val="false"/>
                <w:color w:val="000000"/>
                <w:sz w:val="20"/>
              </w:rPr>
              <w:t>
правильность обработки ежедневных балансов;
</w:t>
            </w:r>
            <w:r>
              <w:br/>
            </w:r>
            <w:r>
              <w:rPr>
                <w:rFonts w:ascii="Times New Roman"/>
                <w:b w:val="false"/>
                <w:i w:val="false"/>
                <w:color w:val="000000"/>
                <w:sz w:val="20"/>
              </w:rPr>
              <w:t>
соответствие учетной политики Организации (Фонда) международным стандартам финансовой отчетности;
</w:t>
            </w:r>
            <w:r>
              <w:br/>
            </w:r>
            <w:r>
              <w:rPr>
                <w:rFonts w:ascii="Times New Roman"/>
                <w:b w:val="false"/>
                <w:i w:val="false"/>
                <w:color w:val="000000"/>
                <w:sz w:val="20"/>
              </w:rPr>
              <w:t>
наличие фактов необоснованных бухгалтерских 
</w:t>
            </w:r>
            <w:r>
              <w:br/>
            </w:r>
            <w:r>
              <w:rPr>
                <w:rFonts w:ascii="Times New Roman"/>
                <w:b w:val="false"/>
                <w:i w:val="false"/>
                <w:color w:val="000000"/>
                <w:sz w:val="20"/>
              </w:rPr>
              <w:t>
манипуляций финансовыми отчетами;
</w:t>
            </w:r>
            <w:r>
              <w:br/>
            </w:r>
            <w:r>
              <w:rPr>
                <w:rFonts w:ascii="Times New Roman"/>
                <w:b w:val="false"/>
                <w:i w:val="false"/>
                <w:color w:val="000000"/>
                <w:sz w:val="20"/>
              </w:rPr>
              <w:t>
правильность учета собственных и пенсионных активов;
</w:t>
            </w:r>
            <w:r>
              <w:br/>
            </w:r>
            <w:r>
              <w:rPr>
                <w:rFonts w:ascii="Times New Roman"/>
                <w:b w:val="false"/>
                <w:i w:val="false"/>
                <w:color w:val="000000"/>
                <w:sz w:val="20"/>
              </w:rPr>
              <w:t>
соответствие методов учета и составления отчетности требованиям, установленным в учетной политике Организации (Фонда);
</w:t>
            </w:r>
            <w:r>
              <w:br/>
            </w:r>
            <w:r>
              <w:rPr>
                <w:rFonts w:ascii="Times New Roman"/>
                <w:b w:val="false"/>
                <w:i w:val="false"/>
                <w:color w:val="000000"/>
                <w:sz w:val="20"/>
              </w:rPr>
              <w:t>
полнота и правильность раскрытия Организацией (Фондом) в годовом отчете структуры и размера рисков.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ежемесячно проводят анализ критических показателей экономических условий деятельности Организации (Фонда) с последующим представлением соответствующего отчета совету директоров.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рисками прогнозирует воздей-
</w:t>
            </w:r>
            <w:r>
              <w:br/>
            </w:r>
            <w:r>
              <w:rPr>
                <w:rFonts w:ascii="Times New Roman"/>
                <w:b w:val="false"/>
                <w:i w:val="false"/>
                <w:color w:val="000000"/>
                <w:sz w:val="20"/>
              </w:rPr>
              <w:t>
ствие на пенсионные активы, рентабельность и ликвидность следующих факторов:
</w:t>
            </w:r>
            <w:r>
              <w:br/>
            </w:r>
            <w:r>
              <w:rPr>
                <w:rFonts w:ascii="Times New Roman"/>
                <w:b w:val="false"/>
                <w:i w:val="false"/>
                <w:color w:val="000000"/>
                <w:sz w:val="20"/>
              </w:rPr>
              <w:t>
полное либо частичное невыполнение контрпартнерами своих обязательств по контрактам;
</w:t>
            </w:r>
            <w:r>
              <w:br/>
            </w:r>
            <w:r>
              <w:rPr>
                <w:rFonts w:ascii="Times New Roman"/>
                <w:b w:val="false"/>
                <w:i w:val="false"/>
                <w:color w:val="000000"/>
                <w:sz w:val="20"/>
              </w:rPr>
              <w:t>
понижение суверенного долгового рейтинга Республики Казахстан на один уровень за три месяца и на два уровня за один год;
</w:t>
            </w:r>
            <w:r>
              <w:br/>
            </w:r>
            <w:r>
              <w:rPr>
                <w:rFonts w:ascii="Times New Roman"/>
                <w:b w:val="false"/>
                <w:i w:val="false"/>
                <w:color w:val="000000"/>
                <w:sz w:val="20"/>
              </w:rPr>
              <w:t>
досрочное погашение долгосрочных финансовых инструментов;
</w:t>
            </w:r>
            <w:r>
              <w:br/>
            </w:r>
            <w:r>
              <w:rPr>
                <w:rFonts w:ascii="Times New Roman"/>
                <w:b w:val="false"/>
                <w:i w:val="false"/>
                <w:color w:val="000000"/>
                <w:sz w:val="20"/>
              </w:rPr>
              <w:t>
девальвация/ревальвация курса тенге.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5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разработало меры по обеспечению сохранности пенсионных активов, а также необходимой доходности операций совершаемых за счет пенсионных активов.
</w:t>
            </w:r>
          </w:p>
        </w:tc>
        <w:tc>
          <w:tcPr>
            <w:tcW w:w="6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рисками проводит регулярный 
</w:t>
            </w:r>
            <w:r>
              <w:br/>
            </w:r>
            <w:r>
              <w:rPr>
                <w:rFonts w:ascii="Times New Roman"/>
                <w:b w:val="false"/>
                <w:i w:val="false"/>
                <w:color w:val="000000"/>
                <w:sz w:val="20"/>
              </w:rPr>
              <w:t>
анализ:
</w:t>
            </w:r>
            <w:r>
              <w:br/>
            </w:r>
            <w:r>
              <w:rPr>
                <w:rFonts w:ascii="Times New Roman"/>
                <w:b w:val="false"/>
                <w:i w:val="false"/>
                <w:color w:val="000000"/>
                <w:sz w:val="20"/>
              </w:rPr>
              <w:t>
балансовых и внебалансовых отчетов Организации (Фонда), а также доходов и расходов, чувствительных к изменению экономических условий;
</w:t>
            </w:r>
            <w:r>
              <w:br/>
            </w:r>
            <w:r>
              <w:rPr>
                <w:rFonts w:ascii="Times New Roman"/>
                <w:b w:val="false"/>
                <w:i w:val="false"/>
                <w:color w:val="000000"/>
                <w:sz w:val="20"/>
              </w:rPr>
              <w:t>
снижения ликвидности, изменения цен на финансовые инструменты;
</w:t>
            </w:r>
            <w:r>
              <w:br/>
            </w:r>
            <w:r>
              <w:rPr>
                <w:rFonts w:ascii="Times New Roman"/>
                <w:b w:val="false"/>
                <w:i w:val="false"/>
                <w:color w:val="000000"/>
                <w:sz w:val="20"/>
              </w:rPr>
              <w:t>
портфеля долговых ценных бумаг, в зависимости от финансового состояния заемщика, его возможности по погашению основной суммы долга и начисленных процентов;
</w:t>
            </w:r>
            <w:r>
              <w:br/>
            </w:r>
            <w:r>
              <w:rPr>
                <w:rFonts w:ascii="Times New Roman"/>
                <w:b w:val="false"/>
                <w:i w:val="false"/>
                <w:color w:val="000000"/>
                <w:sz w:val="20"/>
              </w:rPr>
              <w:t>
распределения активов, обязательств и забалансовых статей, чувствительных к изменению процентных ставок, в соответствии со сроком их погашения (гэп-анализ);
</w:t>
            </w:r>
            <w:r>
              <w:br/>
            </w:r>
            <w:r>
              <w:rPr>
                <w:rFonts w:ascii="Times New Roman"/>
                <w:b w:val="false"/>
                <w:i w:val="false"/>
                <w:color w:val="000000"/>
                <w:sz w:val="20"/>
              </w:rPr>
              <w:t>
активов, обязательств и забалансовых статей, 
</w:t>
            </w:r>
            <w:r>
              <w:br/>
            </w:r>
            <w:r>
              <w:rPr>
                <w:rFonts w:ascii="Times New Roman"/>
                <w:b w:val="false"/>
                <w:i w:val="false"/>
                <w:color w:val="000000"/>
                <w:sz w:val="20"/>
              </w:rPr>
              <w:t>
чувствительных к изменению курса иностранных валют.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осуществления деятельности
</w:t>
      </w:r>
      <w:r>
        <w:br/>
      </w:r>
      <w:r>
        <w:rPr>
          <w:rFonts w:ascii="Times New Roman"/>
          <w:b w:val="false"/>
          <w:i w:val="false"/>
          <w:color w:val="000000"/>
          <w:sz w:val="28"/>
        </w:rPr>
        <w:t>
                                   по инвестиционному управлению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к проведению операций с финансовыми инструментами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553"/>
        <w:gridCol w:w="629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требования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требования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утвердил внутреннюю политику управления операциями по купле/продаже финансовых инструментов и ценового риска.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политики управления операциями по купле/продаже финансовых инструментов регламентируют:  определение риска потери ликвидности, связанного со структурой активов (обязательств) Организации (Фонда);
</w:t>
            </w:r>
            <w:r>
              <w:br/>
            </w:r>
            <w:r>
              <w:rPr>
                <w:rFonts w:ascii="Times New Roman"/>
                <w:b w:val="false"/>
                <w:i w:val="false"/>
                <w:color w:val="000000"/>
                <w:sz w:val="20"/>
              </w:rPr>
              <w:t>
определение процентного риска, связанного со структурой активов (обяза- тельств) Организации (Фонда);
</w:t>
            </w:r>
            <w:r>
              <w:br/>
            </w:r>
            <w:r>
              <w:rPr>
                <w:rFonts w:ascii="Times New Roman"/>
                <w:b w:val="false"/>
                <w:i w:val="false"/>
                <w:color w:val="000000"/>
                <w:sz w:val="20"/>
              </w:rPr>
              <w:t>
определение валютного риска, связанного со структурой активов (обязательств) Организации (Фонда);
</w:t>
            </w:r>
            <w:r>
              <w:br/>
            </w:r>
            <w:r>
              <w:rPr>
                <w:rFonts w:ascii="Times New Roman"/>
                <w:b w:val="false"/>
                <w:i w:val="false"/>
                <w:color w:val="000000"/>
                <w:sz w:val="20"/>
              </w:rPr>
              <w:t>
определение рисков, присущих операциям с производными финансовыми инструментами;
</w:t>
            </w:r>
            <w:r>
              <w:br/>
            </w:r>
            <w:r>
              <w:rPr>
                <w:rFonts w:ascii="Times New Roman"/>
                <w:b w:val="false"/>
                <w:i w:val="false"/>
                <w:color w:val="000000"/>
                <w:sz w:val="20"/>
              </w:rPr>
              <w:t>
модели, используемые при измерении рыночного риска Организации (Фонда);
</w:t>
            </w:r>
            <w:r>
              <w:br/>
            </w:r>
            <w:r>
              <w:rPr>
                <w:rFonts w:ascii="Times New Roman"/>
                <w:b w:val="false"/>
                <w:i w:val="false"/>
                <w:color w:val="000000"/>
                <w:sz w:val="20"/>
              </w:rPr>
              <w:t>
периодичность представления подразделением управления рисками совету директоров и правлению отчета о позициях Организации (Фонда) по 
</w:t>
            </w:r>
            <w:r>
              <w:br/>
            </w:r>
            <w:r>
              <w:rPr>
                <w:rFonts w:ascii="Times New Roman"/>
                <w:b w:val="false"/>
                <w:i w:val="false"/>
                <w:color w:val="000000"/>
                <w:sz w:val="20"/>
              </w:rPr>
              <w:t>
рыночному риску.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утвердил политику двойного контроля для фронт- и бэк-офисов, основанную на разделении функциональных обязанностей, в частности, между фронт-офисом, который осуществляет сделки, и бэк-офисом, который занимается отражением указанных операций в учете.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двойного контроля предусматривает:
</w:t>
            </w:r>
            <w:r>
              <w:br/>
            </w:r>
            <w:r>
              <w:rPr>
                <w:rFonts w:ascii="Times New Roman"/>
                <w:b w:val="false"/>
                <w:i w:val="false"/>
                <w:color w:val="000000"/>
                <w:sz w:val="20"/>
              </w:rPr>
              <w:t>
разделение фронт- и бэк- офисов;
</w:t>
            </w:r>
            <w:r>
              <w:br/>
            </w:r>
            <w:r>
              <w:rPr>
                <w:rFonts w:ascii="Times New Roman"/>
                <w:b w:val="false"/>
                <w:i w:val="false"/>
                <w:color w:val="000000"/>
                <w:sz w:val="20"/>
              </w:rPr>
              <w:t>
возможность бэк-офиса своевременно проверить усло- вия операций во фронт-офисе;
</w:t>
            </w:r>
            <w:r>
              <w:br/>
            </w:r>
            <w:r>
              <w:rPr>
                <w:rFonts w:ascii="Times New Roman"/>
                <w:b w:val="false"/>
                <w:i w:val="false"/>
                <w:color w:val="000000"/>
                <w:sz w:val="20"/>
              </w:rPr>
              <w:t>
меры ограничения возможного сговора между участниками системы двойного контроля;
</w:t>
            </w:r>
            <w:r>
              <w:br/>
            </w:r>
            <w:r>
              <w:rPr>
                <w:rFonts w:ascii="Times New Roman"/>
                <w:b w:val="false"/>
                <w:i w:val="false"/>
                <w:color w:val="000000"/>
                <w:sz w:val="20"/>
              </w:rPr>
              <w:t>
запрет на исполнение одним и тем же лицом обязанностей одновременно во фронт- и бэк-офисах и подразделениях.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утвердило процедуры по обеспечению безопасности операций Организации (Фонда).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проверяет операции Организации (Фонда) в целях выявления и предотвращения случаев злоупотребления при осуществлении операций с доходами и принятия риска, неадекватного размеру собственного капитала и доходов Организации (Фонда).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автоматизированной системой (управление портфелем финансовых инструментов, обеспечение операций, обработка счетов и проведение расчетов, управление рисками).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технической системой обеспечения операций по купле/продаже финансовых инструментов.
</w:t>
            </w:r>
            <w:r>
              <w:br/>
            </w:r>
            <w:r>
              <w:rPr>
                <w:rFonts w:ascii="Times New Roman"/>
                <w:b w:val="false"/>
                <w:i w:val="false"/>
                <w:color w:val="000000"/>
                <w:sz w:val="20"/>
              </w:rPr>
              <w:t>
Организация (Фонд) располагает системой по сбору информации, необходимой для управления рисками.
</w:t>
            </w:r>
            <w:r>
              <w:br/>
            </w:r>
            <w:r>
              <w:rPr>
                <w:rFonts w:ascii="Times New Roman"/>
                <w:b w:val="false"/>
                <w:i w:val="false"/>
                <w:color w:val="000000"/>
                <w:sz w:val="20"/>
              </w:rPr>
              <w:t>
Организация (Фонд) располагает технической системой для проведения расчетов по деньгам и финансовым инструментам.
</w:t>
            </w:r>
            <w:r>
              <w:br/>
            </w:r>
            <w:r>
              <w:rPr>
                <w:rFonts w:ascii="Times New Roman"/>
                <w:b w:val="false"/>
                <w:i w:val="false"/>
                <w:color w:val="000000"/>
                <w:sz w:val="20"/>
              </w:rPr>
              <w:t>
Служба внутреннего аудита и внешние аудиторы проверяют точность сведений, предоставляемых подразделениями Организации (Фонда), отвечающими за ведение бухгалтерского учета и отчетности, в подразделение управления рисками.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системой управления рисками по операциям с финансовыми инструментами, обеспечивающей возможность отслеживать риски в режиме реального времени.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ведет обработку торговых операций отдельно от других рыночных операций.
</w:t>
            </w:r>
            <w:r>
              <w:br/>
            </w:r>
            <w:r>
              <w:rPr>
                <w:rFonts w:ascii="Times New Roman"/>
                <w:b w:val="false"/>
                <w:i w:val="false"/>
                <w:color w:val="000000"/>
                <w:sz w:val="20"/>
              </w:rPr>
              <w:t>
Организация (Фонд) отслеживает доходы/расходы и риски по активам и обязательствам, подверженным ценовому риску и проводит ежедневную оценку их стоимости.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периодически оценивает потенциальный рыночный риск, а также доходы/расходы с учетом текущих рыночных цен на финансовые инструменты.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случае отсутствия рыночной стоимости финансового инструмента Организация (Фонд) проводит тест на обесценение данного финансового инструмента в соответствии с международными стандартами финансовой отчетности.
</w:t>
            </w:r>
            <w:r>
              <w:br/>
            </w:r>
            <w:r>
              <w:rPr>
                <w:rFonts w:ascii="Times New Roman"/>
                <w:b w:val="false"/>
                <w:i w:val="false"/>
                <w:color w:val="000000"/>
                <w:sz w:val="20"/>
              </w:rPr>
              <w:t>
Организация (Фонд) регулярно в течение каждого операционного дня проводит оценку доходов/расходов от операций с финансовыми инструментами.
</w:t>
            </w:r>
            <w:r>
              <w:br/>
            </w:r>
            <w:r>
              <w:rPr>
                <w:rFonts w:ascii="Times New Roman"/>
                <w:b w:val="false"/>
                <w:i w:val="false"/>
                <w:color w:val="000000"/>
                <w:sz w:val="20"/>
              </w:rPr>
              <w:t>
Подразделение управления рисками осуществляет мониторинг правильности определения Организацией (Фондом) справедливой цены по финансовым инструментам.
</w:t>
            </w:r>
            <w:r>
              <w:br/>
            </w:r>
            <w:r>
              <w:rPr>
                <w:rFonts w:ascii="Times New Roman"/>
                <w:b w:val="false"/>
                <w:i w:val="false"/>
                <w:color w:val="000000"/>
                <w:sz w:val="20"/>
              </w:rPr>
              <w:t>
Советом директоров Организации (Фонда) утверждены процедуры определения стоимости финансового инструмента с учетом ценового риска.
</w:t>
            </w:r>
            <w:r>
              <w:br/>
            </w:r>
            <w:r>
              <w:rPr>
                <w:rFonts w:ascii="Times New Roman"/>
                <w:b w:val="false"/>
                <w:i w:val="false"/>
                <w:color w:val="000000"/>
                <w:sz w:val="20"/>
              </w:rPr>
              <w:t>
Организация (Фонд) проводит оценку стоимости финансовых инструментов на основе модели оценки риска и приведения текущих цен к рыночным, в том числе осуществляет 
</w:t>
            </w:r>
            <w:r>
              <w:br/>
            </w:r>
            <w:r>
              <w:rPr>
                <w:rFonts w:ascii="Times New Roman"/>
                <w:b w:val="false"/>
                <w:i w:val="false"/>
                <w:color w:val="000000"/>
                <w:sz w:val="20"/>
              </w:rPr>
              <w:t>
стресс-тестинг (stress-
</w:t>
            </w:r>
            <w:r>
              <w:br/>
            </w:r>
            <w:r>
              <w:rPr>
                <w:rFonts w:ascii="Times New Roman"/>
                <w:b w:val="false"/>
                <w:i w:val="false"/>
                <w:color w:val="000000"/>
                <w:sz w:val="20"/>
              </w:rPr>
              <w:t>
testing) и бэк-тесты (back-testing).
</w:t>
            </w:r>
            <w:r>
              <w:br/>
            </w:r>
            <w:r>
              <w:rPr>
                <w:rFonts w:ascii="Times New Roman"/>
                <w:b w:val="false"/>
                <w:i w:val="false"/>
                <w:color w:val="000000"/>
                <w:sz w:val="20"/>
              </w:rPr>
              <w:t>
Организация (Фонд) использует результаты оценки риска и регулярных 
</w:t>
            </w:r>
            <w:r>
              <w:br/>
            </w:r>
            <w:r>
              <w:rPr>
                <w:rFonts w:ascii="Times New Roman"/>
                <w:b w:val="false"/>
                <w:i w:val="false"/>
                <w:color w:val="000000"/>
                <w:sz w:val="20"/>
              </w:rPr>
              <w:t>
стресс-тестингов 
</w:t>
            </w:r>
            <w:r>
              <w:br/>
            </w:r>
            <w:r>
              <w:rPr>
                <w:rFonts w:ascii="Times New Roman"/>
                <w:b w:val="false"/>
                <w:i w:val="false"/>
                <w:color w:val="000000"/>
                <w:sz w:val="20"/>
              </w:rPr>
              <w:t>
при принятии решений на совершение операций с финансовыми инструментами.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устанавливает совокупный лимит по операциям с финансовыми инструментами, правление - лимиты по отдельным финансовым инструментам, а также лимиты, принятые в международной практике по правилу "stop-loss".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Советом директоров периодически определяются совокупный лимит и правила установления лимитов "stop-loss". Подразделение Организации (Фонда), осуществляющее операции по купле /продаже финансовых инструментов в течение рабочего дня представляет правлению Организации (Фонда) позиции Организации (Фонда) по финансовым инструментам.
</w:t>
            </w:r>
            <w:r>
              <w:br/>
            </w:r>
            <w:r>
              <w:rPr>
                <w:rFonts w:ascii="Times New Roman"/>
                <w:b w:val="false"/>
                <w:i w:val="false"/>
                <w:color w:val="000000"/>
                <w:sz w:val="20"/>
              </w:rPr>
              <w:t>
Совет директоров устанавливает процедуры определения лимитов по 
</w:t>
            </w:r>
            <w:r>
              <w:br/>
            </w:r>
            <w:r>
              <w:rPr>
                <w:rFonts w:ascii="Times New Roman"/>
                <w:b w:val="false"/>
                <w:i w:val="false"/>
                <w:color w:val="000000"/>
                <w:sz w:val="20"/>
              </w:rPr>
              <w:t>
финансовым инструментам и правила определения лимитов "stop-loss".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утвердило процедуры управления рисками по каждому финансовому инструменту.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устанавливает лимиты позиций по принятым в международной практике операциям спот, форварду, своп по каждому виду иностранных валют и по всем 
</w:t>
            </w:r>
            <w:r>
              <w:br/>
            </w:r>
            <w:r>
              <w:rPr>
                <w:rFonts w:ascii="Times New Roman"/>
                <w:b w:val="false"/>
                <w:i w:val="false"/>
                <w:color w:val="000000"/>
                <w:sz w:val="20"/>
              </w:rPr>
              <w:t>
валютам.
</w:t>
            </w:r>
            <w:r>
              <w:br/>
            </w:r>
            <w:r>
              <w:rPr>
                <w:rFonts w:ascii="Times New Roman"/>
                <w:b w:val="false"/>
                <w:i w:val="false"/>
                <w:color w:val="000000"/>
                <w:sz w:val="20"/>
              </w:rPr>
              <w:t>
Подразделение управления рисками использует ежедневную таблицу сроков погашения активов и обязательств для управления сроками погашения спот и форвардных операций.
</w:t>
            </w:r>
            <w:r>
              <w:br/>
            </w:r>
            <w:r>
              <w:rPr>
                <w:rFonts w:ascii="Times New Roman"/>
                <w:b w:val="false"/>
                <w:i w:val="false"/>
                <w:color w:val="000000"/>
                <w:sz w:val="20"/>
              </w:rPr>
              <w:t>
Правление устанавливает диапазон лимитов "stop-loss" для финансовых инструментов.
</w:t>
            </w:r>
            <w:r>
              <w:br/>
            </w:r>
            <w:r>
              <w:rPr>
                <w:rFonts w:ascii="Times New Roman"/>
                <w:b w:val="false"/>
                <w:i w:val="false"/>
                <w:color w:val="000000"/>
                <w:sz w:val="20"/>
              </w:rPr>
              <w:t>
Служба внутреннего аудита проверяет правильность применения Организацией (Фондом) правил определения лимитов "stop-loss".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утвердил политику принятия решений по определению позиции по ценовому риску, в том числе в разбивке по финансовым инструментам, с учетом размера рынка и ликвидности финансового рынка.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рисками проводит анализ адекватности лимитов по финансовым инструментам в соответствии с масштабом и динамикой рынка финансовых инструментов и ликвидностью финансового инструмента.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утверждает инвестиционную политику.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утвердил инвестиционную политику, в которой определены:
</w:t>
            </w:r>
            <w:r>
              <w:br/>
            </w:r>
            <w:r>
              <w:rPr>
                <w:rFonts w:ascii="Times New Roman"/>
                <w:b w:val="false"/>
                <w:i w:val="false"/>
                <w:color w:val="000000"/>
                <w:sz w:val="20"/>
              </w:rPr>
              <w:t>
цели инвестирования, полномочия по утверждению операций инвестирования, а также планов и лимитов инвестирования;
</w:t>
            </w:r>
            <w:r>
              <w:br/>
            </w:r>
            <w:r>
              <w:rPr>
                <w:rFonts w:ascii="Times New Roman"/>
                <w:b w:val="false"/>
                <w:i w:val="false"/>
                <w:color w:val="000000"/>
                <w:sz w:val="20"/>
              </w:rPr>
              <w:t>
процедуры отделения функций проведения инвестиционных операций от иных функций, связанных с оказанием финансовых услуг, в целях недопущения операций с использованием конфиден- циальной информации;
</w:t>
            </w:r>
            <w:r>
              <w:br/>
            </w:r>
            <w:r>
              <w:rPr>
                <w:rFonts w:ascii="Times New Roman"/>
                <w:b w:val="false"/>
                <w:i w:val="false"/>
                <w:color w:val="000000"/>
                <w:sz w:val="20"/>
              </w:rPr>
              <w:t>
инвестиционные критерии по видам финансовых инструментов, целям инвестиционной деятельности;
</w:t>
            </w:r>
            <w:r>
              <w:br/>
            </w:r>
            <w:r>
              <w:rPr>
                <w:rFonts w:ascii="Times New Roman"/>
                <w:b w:val="false"/>
                <w:i w:val="false"/>
                <w:color w:val="000000"/>
                <w:sz w:val="20"/>
              </w:rPr>
              <w:t>
процедуры анализа наличия, условия обращения и доход-
</w:t>
            </w:r>
            <w:r>
              <w:br/>
            </w:r>
            <w:r>
              <w:rPr>
                <w:rFonts w:ascii="Times New Roman"/>
                <w:b w:val="false"/>
                <w:i w:val="false"/>
                <w:color w:val="000000"/>
                <w:sz w:val="20"/>
              </w:rPr>
              <w:t>
ности финансовых инструментов.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по управлению рисками не менее чем один раз в квартал проводит анализ объема инвестиций, результаты которого периодически, но не менее чем один раз в квартал, представляются правлению и не менее чем один раз в полгода - совету директоров.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утвердило проце- дуры ежедневного мониторинга инвестиционных операций Организации (Фонда).
</w:t>
            </w:r>
            <w:r>
              <w:br/>
            </w:r>
            <w:r>
              <w:rPr>
                <w:rFonts w:ascii="Times New Roman"/>
                <w:b w:val="false"/>
                <w:i w:val="false"/>
                <w:color w:val="000000"/>
                <w:sz w:val="20"/>
              </w:rPr>
              <w:t>
Результаты мониторинга вместе с отчетом о доходах/расходах по портфелю инвестиций ежемесячно представляются правлению и совету директоров Организации (Фонда).
</w:t>
            </w:r>
            <w:r>
              <w:br/>
            </w:r>
            <w:r>
              <w:rPr>
                <w:rFonts w:ascii="Times New Roman"/>
                <w:b w:val="false"/>
                <w:i w:val="false"/>
                <w:color w:val="000000"/>
                <w:sz w:val="20"/>
              </w:rPr>
              <w:t>
Подразделение управления рисками осуществляет мониторинг инвестиционного портфеля Организации (Фонда) по виду финансового инструмента, эмитента, срокам обращения, видам валют и целям инвестирования.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утвердило процедуры структурирования портфеля инвестиций так, чтобы он поддерживал стабильные показатели инвестиционной рентабельности в средне- и долгосрочной перспективе.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Процедуры структурирования предусматривают:
</w:t>
            </w:r>
            <w:r>
              <w:br/>
            </w:r>
            <w:r>
              <w:rPr>
                <w:rFonts w:ascii="Times New Roman"/>
                <w:b w:val="false"/>
                <w:i w:val="false"/>
                <w:color w:val="000000"/>
                <w:sz w:val="20"/>
              </w:rPr>
              <w:t>
не менее чем раз в месяц проведение переоценки портфеля инвестиций по рыночной стоимости;
</w:t>
            </w:r>
            <w:r>
              <w:br/>
            </w:r>
            <w:r>
              <w:rPr>
                <w:rFonts w:ascii="Times New Roman"/>
                <w:b w:val="false"/>
                <w:i w:val="false"/>
                <w:color w:val="000000"/>
                <w:sz w:val="20"/>
              </w:rPr>
              <w:t>
не менее чем раз в полгода проведение оценки финансовых результатов инвестиций, с учетом стоимости привлечения средств, доходов/расходов за каждый отчетный период.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установил политику по предупреждению чрезмерных расходов от купли/продажи финансовых инструментов и осуществлению контроля за соблюдением Организацией (Фондом) указанной политики.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определило оперативные процедуры по недо-
</w:t>
            </w:r>
            <w:r>
              <w:br/>
            </w:r>
            <w:r>
              <w:rPr>
                <w:rFonts w:ascii="Times New Roman"/>
                <w:b w:val="false"/>
                <w:i w:val="false"/>
                <w:color w:val="000000"/>
                <w:sz w:val="20"/>
              </w:rPr>
              <w:t>
пущению чрезмерных расходов по операциям с финансовыми инструментами, в том числе
</w:t>
            </w:r>
            <w:r>
              <w:br/>
            </w:r>
            <w:r>
              <w:rPr>
                <w:rFonts w:ascii="Times New Roman"/>
                <w:b w:val="false"/>
                <w:i w:val="false"/>
                <w:color w:val="000000"/>
                <w:sz w:val="20"/>
              </w:rPr>
              <w:t>
связанных с резким колебанием цен на рынке финансовых инструментов.
</w:t>
            </w:r>
            <w:r>
              <w:br/>
            </w:r>
            <w:r>
              <w:rPr>
                <w:rFonts w:ascii="Times New Roman"/>
                <w:b w:val="false"/>
                <w:i w:val="false"/>
                <w:color w:val="000000"/>
                <w:sz w:val="20"/>
              </w:rPr>
              <w:t>
 Организация (Фонд) проводит анализ изменения доходов/расходов от операций с финансовыми инструментами с учетом  динамики их рыночной стоимости.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осуществляет мониторинг риска потери ликвидности, процентного риска и валютного риска.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рассматривает вопросы управления активами и обязательствами;
</w:t>
            </w:r>
            <w:r>
              <w:br/>
            </w:r>
            <w:r>
              <w:rPr>
                <w:rFonts w:ascii="Times New Roman"/>
                <w:b w:val="false"/>
                <w:i w:val="false"/>
                <w:color w:val="000000"/>
                <w:sz w:val="20"/>
              </w:rPr>
              <w:t>
взаимодействует с подразделением управления рисками;
</w:t>
            </w:r>
            <w:r>
              <w:br/>
            </w:r>
            <w:r>
              <w:rPr>
                <w:rFonts w:ascii="Times New Roman"/>
                <w:b w:val="false"/>
                <w:i w:val="false"/>
                <w:color w:val="000000"/>
                <w:sz w:val="20"/>
              </w:rPr>
              <w:t>
еженедельно отслеживает риск потери ликвидности, процентный риск и валютный риск по балансовым и 
</w:t>
            </w:r>
            <w:r>
              <w:br/>
            </w:r>
            <w:r>
              <w:rPr>
                <w:rFonts w:ascii="Times New Roman"/>
                <w:b w:val="false"/>
                <w:i w:val="false"/>
                <w:color w:val="000000"/>
                <w:sz w:val="20"/>
              </w:rPr>
              <w:t>
внебалансовым операциям; 
</w:t>
            </w:r>
            <w:r>
              <w:br/>
            </w:r>
            <w:r>
              <w:rPr>
                <w:rFonts w:ascii="Times New Roman"/>
                <w:b w:val="false"/>
                <w:i w:val="false"/>
                <w:color w:val="000000"/>
                <w:sz w:val="20"/>
              </w:rPr>
              <w:t>
еженедельно информирует правление и ежемесячно - совет директоров по позиции Организации (Фонда) по риску потери ликвидности, процентному и валютному рискам, в динамике и по видам операций купли/продажи;
</w:t>
            </w:r>
            <w:r>
              <w:br/>
            </w:r>
            <w:r>
              <w:rPr>
                <w:rFonts w:ascii="Times New Roman"/>
                <w:b w:val="false"/>
                <w:i w:val="false"/>
                <w:color w:val="000000"/>
                <w:sz w:val="20"/>
              </w:rPr>
              <w:t>
дает рекомендации по приемлемому уровню доходности приобретаемых финансовых 
</w:t>
            </w:r>
            <w:r>
              <w:br/>
            </w:r>
            <w:r>
              <w:rPr>
                <w:rFonts w:ascii="Times New Roman"/>
                <w:b w:val="false"/>
                <w:i w:val="false"/>
                <w:color w:val="000000"/>
                <w:sz w:val="20"/>
              </w:rPr>
              <w:t>
инструментов.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контролирует необходимые деньги с помощью графика потока денег и графика сроков погашения активов и обязательств, для обеспечения стабильного привлечения денег на рынке.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ежедневно составляет график потока денег и проводит мониторинг гэп-позиции 
</w:t>
            </w:r>
            <w:r>
              <w:br/>
            </w:r>
            <w:r>
              <w:rPr>
                <w:rFonts w:ascii="Times New Roman"/>
                <w:b w:val="false"/>
                <w:i w:val="false"/>
                <w:color w:val="000000"/>
                <w:sz w:val="20"/>
              </w:rPr>
              <w:t>
ликвидности на ближайшие десять рабочих дней;
</w:t>
            </w:r>
            <w:r>
              <w:br/>
            </w:r>
            <w:r>
              <w:rPr>
                <w:rFonts w:ascii="Times New Roman"/>
                <w:b w:val="false"/>
                <w:i w:val="false"/>
                <w:color w:val="000000"/>
                <w:sz w:val="20"/>
              </w:rPr>
              <w:t>
регулярно (например, еженедельно) составляет график сроков погашения активов и обязательств в соответствии с датой расчетов и проводит мониторинг гэп-позиции ликвидности на ежедневной, еженедельной и ежемесячной основе;
</w:t>
            </w:r>
            <w:r>
              <w:br/>
            </w:r>
            <w:r>
              <w:rPr>
                <w:rFonts w:ascii="Times New Roman"/>
                <w:b w:val="false"/>
                <w:i w:val="false"/>
                <w:color w:val="000000"/>
                <w:sz w:val="20"/>
              </w:rPr>
              <w:t>
осуществляет мониторинг и управление гэп-позициями ликвидности по каждой валюте без конвертации в националь- ную валюту или другую ино- странную валюту.
</w:t>
            </w:r>
            <w:r>
              <w:br/>
            </w:r>
            <w:r>
              <w:rPr>
                <w:rFonts w:ascii="Times New Roman"/>
                <w:b w:val="false"/>
                <w:i w:val="false"/>
                <w:color w:val="000000"/>
                <w:sz w:val="20"/>
              </w:rPr>
              <w:t>
Организация (Фонд) осуществляет контроль ликвид- ности с учетом  предполагае- мого объема погашения внеба- лансовых операций Организации (Фонда).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контролирует гэп-позиции по наличным деньгам посредством установления лимитов.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устанавливает лимиты на гэп-позиции по высоколиквидным активам с учетом возможности мобилизации ликвидных активов.
</w:t>
            </w:r>
            <w:r>
              <w:br/>
            </w:r>
            <w:r>
              <w:rPr>
                <w:rFonts w:ascii="Times New Roman"/>
                <w:b w:val="false"/>
                <w:i w:val="false"/>
                <w:color w:val="000000"/>
                <w:sz w:val="20"/>
              </w:rPr>
              <w:t>
Подразделение управления активами  и обязательствами регулярно проводит обзор ли- митов по гэп-позициям наличных денег с учетом изменения способности Организации (Фонда) мобилизовать ликвидные активы.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осуществляет ежедневные операции, принимая во внимание необходимость сдерживания риска потери ликвидности, а также кредитного риска при инвестировании в ценные бумаги.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регулярно проводит мониторинг способности сформировать ликвидные активы в иностран- ной валюте необходимые для погашения обязательств в ино- странной валюте.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утверждает политику оценки рисков с использованием  методик, в том числе международной практики оценки финансовых инструментов по предполагаемому риску (VAR-метод).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регулярно, не менее чем раз в квартал, определяет уровни доходности по срокам пога- шения, с учетом допущений вводимых в VAR модель и регулярно проводит мониторинг показателей дюрации по акти- вам и обязательствам, чув-
</w:t>
            </w:r>
            <w:r>
              <w:br/>
            </w:r>
            <w:r>
              <w:rPr>
                <w:rFonts w:ascii="Times New Roman"/>
                <w:b w:val="false"/>
                <w:i w:val="false"/>
                <w:color w:val="000000"/>
                <w:sz w:val="20"/>
              </w:rPr>
              <w:t>
ствительных к изменению 
</w:t>
            </w:r>
            <w:r>
              <w:br/>
            </w:r>
            <w:r>
              <w:rPr>
                <w:rFonts w:ascii="Times New Roman"/>
                <w:b w:val="false"/>
                <w:i w:val="false"/>
                <w:color w:val="000000"/>
                <w:sz w:val="20"/>
              </w:rPr>
              <w:t>
процентных ставок.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располагает системой сбора и анализа данных  для оценки процентных рисков.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осуществляет мониторинг процентного риска, основные источники процентного риска (различия в сроках погашения, ставки рынка заемного капи- тала, встроенные опционы).
</w:t>
            </w:r>
            <w:r>
              <w:br/>
            </w:r>
            <w:r>
              <w:rPr>
                <w:rFonts w:ascii="Times New Roman"/>
                <w:b w:val="false"/>
                <w:i w:val="false"/>
                <w:color w:val="000000"/>
                <w:sz w:val="20"/>
              </w:rPr>
              <w:t>
Подразделение управления активами и обязательствами располагает вспомогательной системой для всестороннего анализа изменений валютных курсов.
</w:t>
            </w:r>
            <w:r>
              <w:br/>
            </w:r>
            <w:r>
              <w:rPr>
                <w:rFonts w:ascii="Times New Roman"/>
                <w:b w:val="false"/>
                <w:i w:val="false"/>
                <w:color w:val="000000"/>
                <w:sz w:val="20"/>
              </w:rPr>
              <w:t>
Совет директоров утверждает политику принятия решений по валютным позициям в соответствии с анализом изменения валютных курсов.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и подразделение управления рисками принимает меры по снижению риска в тех случаях, когда в количественном отношении риски становятся чрезмерными в сравнении с капиталом и доходами Организации (Фонда).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рисками осуществляет:
</w:t>
            </w:r>
            <w:r>
              <w:br/>
            </w:r>
            <w:r>
              <w:rPr>
                <w:rFonts w:ascii="Times New Roman"/>
                <w:b w:val="false"/>
                <w:i w:val="false"/>
                <w:color w:val="000000"/>
                <w:sz w:val="20"/>
              </w:rPr>
              <w:t>
комплексное управление рисками с использованием различных аналитических методик;
</w:t>
            </w:r>
            <w:r>
              <w:br/>
            </w:r>
            <w:r>
              <w:rPr>
                <w:rFonts w:ascii="Times New Roman"/>
                <w:b w:val="false"/>
                <w:i w:val="false"/>
                <w:color w:val="000000"/>
                <w:sz w:val="20"/>
              </w:rPr>
              <w:t>
оценку чувствительности к риску, регулярно проводит гэп анализ;
</w:t>
            </w:r>
            <w:r>
              <w:br/>
            </w:r>
            <w:r>
              <w:rPr>
                <w:rFonts w:ascii="Times New Roman"/>
                <w:b w:val="false"/>
                <w:i w:val="false"/>
                <w:color w:val="000000"/>
                <w:sz w:val="20"/>
              </w:rPr>
              <w:t>
стресс-тестинг, результаты которого используются в плане оперативных действий, при нарастании негативных факторов на рынке;
</w:t>
            </w:r>
            <w:r>
              <w:br/>
            </w:r>
            <w:r>
              <w:rPr>
                <w:rFonts w:ascii="Times New Roman"/>
                <w:b w:val="false"/>
                <w:i w:val="false"/>
                <w:color w:val="000000"/>
                <w:sz w:val="20"/>
              </w:rPr>
              <w:t>
процедуры хеджирования процентного риска в том числе, с помощью производных финансовых инструментов или других рыночных операций;
</w:t>
            </w:r>
            <w:r>
              <w:br/>
            </w:r>
            <w:r>
              <w:rPr>
                <w:rFonts w:ascii="Times New Roman"/>
                <w:b w:val="false"/>
                <w:i w:val="false"/>
                <w:color w:val="000000"/>
                <w:sz w:val="20"/>
              </w:rPr>
              <w:t>
устанавливает лимиты по гэп и размеру процентного риска с учетом адекватности собственного капитала по рискам.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оценивает и анализирует уровень валютного риска с использованием  методик, утвержденных Правлением.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w:t>
            </w:r>
            <w:r>
              <w:br/>
            </w:r>
            <w:r>
              <w:rPr>
                <w:rFonts w:ascii="Times New Roman"/>
                <w:b w:val="false"/>
                <w:i w:val="false"/>
                <w:color w:val="000000"/>
                <w:sz w:val="20"/>
              </w:rPr>
              <w:t>
располагает  вспомогательной системой для анализа изменения валютных 
</w:t>
            </w:r>
            <w:r>
              <w:br/>
            </w:r>
            <w:r>
              <w:rPr>
                <w:rFonts w:ascii="Times New Roman"/>
                <w:b w:val="false"/>
                <w:i w:val="false"/>
                <w:color w:val="000000"/>
                <w:sz w:val="20"/>
              </w:rPr>
              <w:t>
курсов;
</w:t>
            </w:r>
            <w:r>
              <w:br/>
            </w:r>
            <w:r>
              <w:rPr>
                <w:rFonts w:ascii="Times New Roman"/>
                <w:b w:val="false"/>
                <w:i w:val="false"/>
                <w:color w:val="000000"/>
                <w:sz w:val="20"/>
              </w:rPr>
              <w:t>
регулярно анализирует открытые валютные позиции или модели, в которых проводится оценка стоимости валютных инструментов, для определения чувствительности к изменениям валютных курсов.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5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Советом директоров утверждена политика по снижению риска в тех случаях, когда валютные риски в количественном отношении могут превысить размер собственного капитала и доходов Организации (Фонда).
</w:t>
            </w:r>
          </w:p>
        </w:tc>
        <w:tc>
          <w:tcPr>
            <w:tcW w:w="6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по управлению рисками не менее чем раз в полгода проводит стресс- тестинг и использует его результаты в плане опера- тивных действий при нарас- тании негативных факторов на рынке.
</w:t>
            </w:r>
            <w:r>
              <w:br/>
            </w:r>
            <w:r>
              <w:rPr>
                <w:rFonts w:ascii="Times New Roman"/>
                <w:b w:val="false"/>
                <w:i w:val="false"/>
                <w:color w:val="000000"/>
                <w:sz w:val="20"/>
              </w:rPr>
              <w:t>
Организация (Фонд) использует процедуры своевременного хеджирования валютного риска с помощью производных финансовых инструментов в соответствии с политикой управления активами и обязательствами.
</w:t>
            </w:r>
            <w:r>
              <w:br/>
            </w:r>
            <w:r>
              <w:rPr>
                <w:rFonts w:ascii="Times New Roman"/>
                <w:b w:val="false"/>
                <w:i w:val="false"/>
                <w:color w:val="000000"/>
                <w:sz w:val="20"/>
              </w:rPr>
              <w:t>
Совет директоров устанавливает лимиты по открытым валютным позициям и лимит валютной нетто-позиции.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осуществления деятельности 
</w:t>
      </w:r>
      <w:r>
        <w:br/>
      </w:r>
      <w:r>
        <w:rPr>
          <w:rFonts w:ascii="Times New Roman"/>
          <w:b w:val="false"/>
          <w:i w:val="false"/>
          <w:color w:val="000000"/>
          <w:sz w:val="28"/>
        </w:rPr>
        <w:t>
                                 по инвестиционному управлению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i w:val="false"/>
          <w:color w:val="000000"/>
          <w:sz w:val="28"/>
        </w:rPr>
        <w:t>
Требования к обеспечению операционной деятельности Организаций (Фондов), функционирования информационных систем и систем управленческой информации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5613"/>
        <w:gridCol w:w="6233"/>
      </w:tblGrid>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требования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Критерии требования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утвердило процедуры по операционной технике оказания финансовых услуг на рынке ценных бумаг и их бухгалтерскому учету, а также систем переводов денег.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процедуры регламентируют:
</w:t>
            </w:r>
            <w:r>
              <w:br/>
            </w:r>
            <w:r>
              <w:rPr>
                <w:rFonts w:ascii="Times New Roman"/>
                <w:b w:val="false"/>
                <w:i w:val="false"/>
                <w:color w:val="000000"/>
                <w:sz w:val="20"/>
              </w:rPr>
              <w:t>
подразделение, обеспечивающее руководство производственной деятельностью Организации (Фонда);
</w:t>
            </w:r>
            <w:r>
              <w:br/>
            </w:r>
            <w:r>
              <w:rPr>
                <w:rFonts w:ascii="Times New Roman"/>
                <w:b w:val="false"/>
                <w:i w:val="false"/>
                <w:color w:val="000000"/>
                <w:sz w:val="20"/>
              </w:rPr>
              <w:t>
технический порядок проведения операций на рынке ценных бумаг;
</w:t>
            </w:r>
            <w:r>
              <w:br/>
            </w:r>
            <w:r>
              <w:rPr>
                <w:rFonts w:ascii="Times New Roman"/>
                <w:b w:val="false"/>
                <w:i w:val="false"/>
                <w:color w:val="000000"/>
                <w:sz w:val="20"/>
              </w:rPr>
              <w:t>
бухгалтерский учет операций Организации (Фонда);
</w:t>
            </w:r>
            <w:r>
              <w:br/>
            </w:r>
            <w:r>
              <w:rPr>
                <w:rFonts w:ascii="Times New Roman"/>
                <w:b w:val="false"/>
                <w:i w:val="false"/>
                <w:color w:val="000000"/>
                <w:sz w:val="20"/>
              </w:rPr>
              <w:t>
двойной контроль операций Организации (Фонда) и их учет;
</w:t>
            </w:r>
            <w:r>
              <w:br/>
            </w:r>
            <w:r>
              <w:rPr>
                <w:rFonts w:ascii="Times New Roman"/>
                <w:b w:val="false"/>
                <w:i w:val="false"/>
                <w:color w:val="000000"/>
                <w:sz w:val="20"/>
              </w:rPr>
              <w:t>
контроль документооборота Организации (Фонда);
</w:t>
            </w:r>
            <w:r>
              <w:br/>
            </w:r>
            <w:r>
              <w:rPr>
                <w:rFonts w:ascii="Times New Roman"/>
                <w:b w:val="false"/>
                <w:i w:val="false"/>
                <w:color w:val="000000"/>
                <w:sz w:val="20"/>
              </w:rPr>
              <w:t>
контроль и верификация информации, передаваемой Организацией (Фондом) банку-кастодиану, накопительному пенсионному фонду, в том числе процедуры верификации и регламентации действий при обнаружении не соответствия предоставленной информации;
</w:t>
            </w:r>
            <w:r>
              <w:br/>
            </w:r>
            <w:r>
              <w:rPr>
                <w:rFonts w:ascii="Times New Roman"/>
                <w:b w:val="false"/>
                <w:i w:val="false"/>
                <w:color w:val="000000"/>
                <w:sz w:val="20"/>
              </w:rPr>
              <w:t>
процедуры ответственности лиц при передаче информации;
</w:t>
            </w:r>
            <w:r>
              <w:br/>
            </w:r>
            <w:r>
              <w:rPr>
                <w:rFonts w:ascii="Times New Roman"/>
                <w:b w:val="false"/>
                <w:i w:val="false"/>
                <w:color w:val="000000"/>
                <w:sz w:val="20"/>
              </w:rPr>
              <w:t>
процедуры проверки соответ- ствия алгоритма расчетов пенсионных накоплений требованиям законодательства Республики Казахстан, в том числе расчет стоимости услов- ной единицы, количества условной единицы.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устанавило процедуры, ограничивающие возможность неправильного проведения и недостоверного отражения в учете совершенных операций с финансовыми инструментами.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не менее чем раз в полгода, проводит проверки подраз- делений в целях оценки соблюдения ими операционной техники проведения операций с ценными бумагами, достовер- ного и своевременного отра- жения в журналах учета операций с ценными бумагами.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внутренними правилами и руководствами по планированию, разработке и функционированию систем электронной обработки данных.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правилами и руководствами, касающимися планирования, разработки и функционирования систем электронной обработки данных.
</w:t>
            </w:r>
          </w:p>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Организации (Фонда) утвердило процедуры внутреннего аудита системы электронной обработки.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 Организации (Фонда), осуществляющий контроль системы электронной обработки данных и отвечающий за вопросы обработки данных, имеет квалификацию и опыт, соответствующие профилю рабо- ты.
</w:t>
            </w:r>
            <w:r>
              <w:br/>
            </w:r>
            <w:r>
              <w:rPr>
                <w:rFonts w:ascii="Times New Roman"/>
                <w:b w:val="false"/>
                <w:i w:val="false"/>
                <w:color w:val="000000"/>
                <w:sz w:val="20"/>
              </w:rPr>
              <w:t>
Проверки проводятся службой внутреннего аудита в соответствии с утвержденными правлением планами проверок.
</w:t>
            </w:r>
            <w:r>
              <w:br/>
            </w:r>
            <w:r>
              <w:rPr>
                <w:rFonts w:ascii="Times New Roman"/>
                <w:b w:val="false"/>
                <w:i w:val="false"/>
                <w:color w:val="000000"/>
                <w:sz w:val="20"/>
              </w:rPr>
              <w:t>
Служба внутреннего аудита регулярно, по результатам проведенных проверок, сообщает о результатах правлению и совету директоров.
</w:t>
            </w:r>
            <w:r>
              <w:br/>
            </w:r>
            <w:r>
              <w:rPr>
                <w:rFonts w:ascii="Times New Roman"/>
                <w:b w:val="false"/>
                <w:i w:val="false"/>
                <w:color w:val="000000"/>
                <w:sz w:val="20"/>
              </w:rPr>
              <w:t>
Организация (Фонд) располагает программно- техническими средствами позволяющими осуществлять своевременный перевод пенсионных накоплений в другие накопительные пенсионные фонды либо страховые организации.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утвердило политику по предотвращению несанкционированного доступа в компьютерную и телекоммуникационную систему.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w:t>
            </w:r>
            <w:r>
              <w:br/>
            </w:r>
            <w:r>
              <w:rPr>
                <w:rFonts w:ascii="Times New Roman"/>
                <w:b w:val="false"/>
                <w:i w:val="false"/>
                <w:color w:val="000000"/>
                <w:sz w:val="20"/>
              </w:rPr>
              <w:t>
информационного обеспечения располагает системой проверки уровня допуска при входе и выходе из автоматизированной системы.
</w:t>
            </w:r>
            <w:r>
              <w:br/>
            </w:r>
            <w:r>
              <w:rPr>
                <w:rFonts w:ascii="Times New Roman"/>
                <w:b w:val="false"/>
                <w:i w:val="false"/>
                <w:color w:val="000000"/>
                <w:sz w:val="20"/>
              </w:rPr>
              <w:t>
Правление утвердило процедуры и ответственность подраз- деления информационного обеспечения по контролю важных ключей, в том числе электронных к информационным базам данных.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утвердило процедуры выполнения плановых мероприятий по обеспечению сохранности информационных систем баз данных, в том числе в случае форс-мажорных обстоятельств.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Процедуры предусматривают обязательное наличие:
</w:t>
            </w:r>
            <w:r>
              <w:br/>
            </w:r>
            <w:r>
              <w:rPr>
                <w:rFonts w:ascii="Times New Roman"/>
                <w:b w:val="false"/>
                <w:i w:val="false"/>
                <w:color w:val="000000"/>
                <w:sz w:val="20"/>
              </w:rPr>
              <w:t>
сертифицированного программного обеспечения, изготовитель которого обеспечивает последующее техническое обслуживание оборудования;
</w:t>
            </w:r>
            <w:r>
              <w:br/>
            </w:r>
            <w:r>
              <w:rPr>
                <w:rFonts w:ascii="Times New Roman"/>
                <w:b w:val="false"/>
                <w:i w:val="false"/>
                <w:color w:val="000000"/>
                <w:sz w:val="20"/>
              </w:rPr>
              <w:t>
обособленных помещений для технических комплексов информационных баз данных, отвечающих требованиям  пожарной безопасности и сейсмоустойчивости;
</w:t>
            </w:r>
            <w:r>
              <w:br/>
            </w:r>
            <w:r>
              <w:rPr>
                <w:rFonts w:ascii="Times New Roman"/>
                <w:b w:val="false"/>
                <w:i w:val="false"/>
                <w:color w:val="000000"/>
                <w:sz w:val="20"/>
              </w:rPr>
              <w:t>
автономного электропитания;
</w:t>
            </w:r>
            <w:r>
              <w:br/>
            </w:r>
            <w:r>
              <w:rPr>
                <w:rFonts w:ascii="Times New Roman"/>
                <w:b w:val="false"/>
                <w:i w:val="false"/>
                <w:color w:val="000000"/>
                <w:sz w:val="20"/>
              </w:rPr>
              <w:t>
резервных компьютеров и сетевых коммуникаций.
</w:t>
            </w:r>
            <w:r>
              <w:br/>
            </w:r>
            <w:r>
              <w:rPr>
                <w:rFonts w:ascii="Times New Roman"/>
                <w:b w:val="false"/>
                <w:i w:val="false"/>
                <w:color w:val="000000"/>
                <w:sz w:val="20"/>
              </w:rPr>
              <w:t>
Организация (Фонд) регулярно формирует резервные копии системно-важных программных файлов и файлов данных.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Правлением утверждены процедуры делегирования полномочий и ответственности в случае форс-мажорных обстоятельств.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Процедуры форс-мажорных обстоятельств предусматривают правила и руководства для компьютерного центра в случае чрезвычайного сбоя в работе системы.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утвердило правила ведения журналов учета сделок, совершаемых сделок с финансовыми инструментами за счет пенсионных активов.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Правила ведения журналов учета сделок, совершаемых с финансовыми инструментами за счет пенсионных активов, содержат:
</w:t>
            </w:r>
            <w:r>
              <w:br/>
            </w:r>
            <w:r>
              <w:rPr>
                <w:rFonts w:ascii="Times New Roman"/>
                <w:b w:val="false"/>
                <w:i w:val="false"/>
                <w:color w:val="000000"/>
                <w:sz w:val="20"/>
              </w:rPr>
              <w:t>
количество и наименование журналов учета сделок;
</w:t>
            </w:r>
            <w:r>
              <w:br/>
            </w:r>
            <w:r>
              <w:rPr>
                <w:rFonts w:ascii="Times New Roman"/>
                <w:b w:val="false"/>
                <w:i w:val="false"/>
                <w:color w:val="000000"/>
                <w:sz w:val="20"/>
              </w:rPr>
              <w:t>
порядок и периодичность заполнения журналов;
</w:t>
            </w:r>
            <w:r>
              <w:br/>
            </w:r>
            <w:r>
              <w:rPr>
                <w:rFonts w:ascii="Times New Roman"/>
                <w:b w:val="false"/>
                <w:i w:val="false"/>
                <w:color w:val="000000"/>
                <w:sz w:val="20"/>
              </w:rPr>
              <w:t>
перечень должностных лиц, осуществляющих контроль за совершением сделок с участием пенсионных активов.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утвердило политику внутреннего контроля за обеспечением целостности данных и конфиденциальности информации.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Политика внутреннего контроля за обеспечением целостности данных и конфиденциальности информации должна содержать:
</w:t>
            </w:r>
            <w:r>
              <w:br/>
            </w:r>
            <w:r>
              <w:rPr>
                <w:rFonts w:ascii="Times New Roman"/>
                <w:b w:val="false"/>
                <w:i w:val="false"/>
                <w:color w:val="000000"/>
                <w:sz w:val="20"/>
              </w:rPr>
              <w:t>
перечень информации, 
</w:t>
            </w:r>
            <w:r>
              <w:br/>
            </w:r>
            <w:r>
              <w:rPr>
                <w:rFonts w:ascii="Times New Roman"/>
                <w:b w:val="false"/>
                <w:i w:val="false"/>
                <w:color w:val="000000"/>
                <w:sz w:val="20"/>
              </w:rPr>
              <w:t>
относящейся к категории 
</w:t>
            </w:r>
            <w:r>
              <w:br/>
            </w:r>
            <w:r>
              <w:rPr>
                <w:rFonts w:ascii="Times New Roman"/>
                <w:b w:val="false"/>
                <w:i w:val="false"/>
                <w:color w:val="000000"/>
                <w:sz w:val="20"/>
              </w:rPr>
              <w:t>
конфиденциальной;
</w:t>
            </w:r>
            <w:r>
              <w:br/>
            </w:r>
            <w:r>
              <w:rPr>
                <w:rFonts w:ascii="Times New Roman"/>
                <w:b w:val="false"/>
                <w:i w:val="false"/>
                <w:color w:val="000000"/>
                <w:sz w:val="20"/>
              </w:rPr>
              <w:t>
порядок составления, 
</w:t>
            </w:r>
            <w:r>
              <w:br/>
            </w:r>
            <w:r>
              <w:rPr>
                <w:rFonts w:ascii="Times New Roman"/>
                <w:b w:val="false"/>
                <w:i w:val="false"/>
                <w:color w:val="000000"/>
                <w:sz w:val="20"/>
              </w:rPr>
              <w:t>
оформления, регистрации, учетаи хранения документов, 
</w:t>
            </w:r>
            <w:r>
              <w:br/>
            </w:r>
            <w:r>
              <w:rPr>
                <w:rFonts w:ascii="Times New Roman"/>
                <w:b w:val="false"/>
                <w:i w:val="false"/>
                <w:color w:val="000000"/>
                <w:sz w:val="20"/>
              </w:rPr>
              <w:t>
содержащих конфиденциальную 
</w:t>
            </w:r>
            <w:r>
              <w:br/>
            </w:r>
            <w:r>
              <w:rPr>
                <w:rFonts w:ascii="Times New Roman"/>
                <w:b w:val="false"/>
                <w:i w:val="false"/>
                <w:color w:val="000000"/>
                <w:sz w:val="20"/>
              </w:rPr>
              <w:t>
информацию;
</w:t>
            </w:r>
            <w:r>
              <w:br/>
            </w:r>
            <w:r>
              <w:rPr>
                <w:rFonts w:ascii="Times New Roman"/>
                <w:b w:val="false"/>
                <w:i w:val="false"/>
                <w:color w:val="000000"/>
                <w:sz w:val="20"/>
              </w:rPr>
              <w:t>
порядок допуска к 
</w:t>
            </w:r>
            <w:r>
              <w:br/>
            </w:r>
            <w:r>
              <w:rPr>
                <w:rFonts w:ascii="Times New Roman"/>
                <w:b w:val="false"/>
                <w:i w:val="false"/>
                <w:color w:val="000000"/>
                <w:sz w:val="20"/>
              </w:rPr>
              <w:t>
конфиденциальной информации, суказанием должностей лиц, их занимающих, которые 
</w:t>
            </w:r>
            <w:r>
              <w:br/>
            </w:r>
            <w:r>
              <w:rPr>
                <w:rFonts w:ascii="Times New Roman"/>
                <w:b w:val="false"/>
                <w:i w:val="false"/>
                <w:color w:val="000000"/>
                <w:sz w:val="20"/>
              </w:rPr>
              <w:t>
допускаются к конфиденциальнойинформации.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информационного обеспечения ведет учет фактических системных проблем, с учетом которых применяются незамедлительные меры по разработке мер безопасности с целью предотвращения повторного возникновения проблем.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Подразделением информационного обеспечения заполняются листы учета технических проблем, и ведется по ним отчетность.
</w:t>
            </w:r>
            <w:r>
              <w:br/>
            </w:r>
            <w:r>
              <w:rPr>
                <w:rFonts w:ascii="Times New Roman"/>
                <w:b w:val="false"/>
                <w:i w:val="false"/>
                <w:color w:val="000000"/>
                <w:sz w:val="20"/>
              </w:rPr>
              <w:t>
Подразделение информационного обеспечения отслеживает причины возникновения проблемы, извещает о них изготовителя информационной системы и принимает коррективные меры  для предотвращения их повторного возникновения.
</w:t>
            </w:r>
            <w:r>
              <w:br/>
            </w:r>
            <w:r>
              <w:rPr>
                <w:rFonts w:ascii="Times New Roman"/>
                <w:b w:val="false"/>
                <w:i w:val="false"/>
                <w:color w:val="000000"/>
                <w:sz w:val="20"/>
              </w:rPr>
              <w:t>
Подразделение информационного обеспечения регулярно анализирует характер таких проблем.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утвердило процедуры по предотвращению утечки конфиденциальной информации и искажения информационных данных.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Процедуры предусматривают:
</w:t>
            </w:r>
            <w:r>
              <w:br/>
            </w:r>
            <w:r>
              <w:rPr>
                <w:rFonts w:ascii="Times New Roman"/>
                <w:b w:val="false"/>
                <w:i w:val="false"/>
                <w:color w:val="000000"/>
                <w:sz w:val="20"/>
              </w:rPr>
              <w:t>
перечень информационных данных, имеющих ограниченный доступ;
</w:t>
            </w:r>
            <w:r>
              <w:br/>
            </w:r>
            <w:r>
              <w:rPr>
                <w:rFonts w:ascii="Times New Roman"/>
                <w:b w:val="false"/>
                <w:i w:val="false"/>
                <w:color w:val="000000"/>
                <w:sz w:val="20"/>
              </w:rPr>
              <w:t>
порядок получения доступа;
</w:t>
            </w:r>
            <w:r>
              <w:br/>
            </w:r>
            <w:r>
              <w:rPr>
                <w:rFonts w:ascii="Times New Roman"/>
                <w:b w:val="false"/>
                <w:i w:val="false"/>
                <w:color w:val="000000"/>
                <w:sz w:val="20"/>
              </w:rPr>
              <w:t>
порядок контроля доступа к информационным данным;
</w:t>
            </w:r>
            <w:r>
              <w:br/>
            </w:r>
            <w:r>
              <w:rPr>
                <w:rFonts w:ascii="Times New Roman"/>
                <w:b w:val="false"/>
                <w:i w:val="false"/>
                <w:color w:val="000000"/>
                <w:sz w:val="20"/>
              </w:rPr>
              <w:t>
перечень лиц, имеющих доступ к информационным данным.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Правлением утверждены  процедуры по  предотвращению сбоев с помощью регулярных инспекций  оборудования и проверки отчетов о работе.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информационного обеспечения, не менее чем раз в квартал,  проводит проверки технических комплексов, обеспечивающих функционирование  автомати- зированной базы данных.
</w:t>
            </w:r>
            <w:r>
              <w:br/>
            </w:r>
            <w:r>
              <w:rPr>
                <w:rFonts w:ascii="Times New Roman"/>
                <w:b w:val="false"/>
                <w:i w:val="false"/>
                <w:color w:val="000000"/>
                <w:sz w:val="20"/>
              </w:rPr>
              <w:t>
Подразделение информационного обеспечения раз в квартал предоставляет правлению информацию о состоянии технических комплексов.
</w:t>
            </w:r>
          </w:p>
        </w:tc>
      </w:tr>
      <w:tr>
        <w:trPr>
          <w:trHeight w:val="9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Правлением утверждены процедуры по предотвращению несанкционированного использования терминалов управления автоматизированной базой данных.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информационного обеспечения осуществляет мониторинг и идентифицирует пользователей терминалов управления  автоматизированной базой данных, в том числе контро- лирует виды и объемы проведенных ими операций на предмет их соответствия функциональным обязанностям пользователя.
</w:t>
            </w:r>
            <w:r>
              <w:br/>
            </w:r>
            <w:r>
              <w:rPr>
                <w:rFonts w:ascii="Times New Roman"/>
                <w:b w:val="false"/>
                <w:i w:val="false"/>
                <w:color w:val="000000"/>
                <w:sz w:val="20"/>
              </w:rPr>
              <w:t>
Организация (Фонд) располагает системой, позволяющей идентифицировать личность пользователя.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осуществления деятельности 
</w:t>
      </w:r>
      <w:r>
        <w:br/>
      </w:r>
      <w:r>
        <w:rPr>
          <w:rFonts w:ascii="Times New Roman"/>
          <w:b w:val="false"/>
          <w:i w:val="false"/>
          <w:color w:val="000000"/>
          <w:sz w:val="28"/>
        </w:rPr>
        <w:t>
                          по инвестиционному управлению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i w:val="false"/>
          <w:color w:val="000000"/>
          <w:sz w:val="28"/>
        </w:rPr>
        <w:t>
Базовые критерии требований Инструкции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187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системы управления рисками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утвердил политику по урегулированию конфликта интересов в Организации (Фонде).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осуществляет контроль за соблюдением внутренних правил и процедур Организации (Фонда), исполнением отчетов внутренних и внешних аудиторов, мер воздействия и иных требований уполномоченного органа.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Инвестиционный комитет устанавливает и утверждает  правила проведения операций по купле/продаже финансовых инструментов и  инвестирования, а также определяет ориентиры по диверсификации активов, рентабельности, ликвидности и достаточности капитала Организации (Фонда). В состав комитета входят не менее трех человек, обладающих квалификационными свидетельствами соответствующей категории.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по мере необходимости, но не менее чем раз в квартал, анализирует следующие отчеты:
</w:t>
            </w:r>
          </w:p>
          <w:p>
            <w:pPr>
              <w:spacing w:after="20"/>
              <w:ind w:left="20"/>
              <w:jc w:val="both"/>
            </w:pPr>
            <w:r>
              <w:rPr>
                <w:rFonts w:ascii="Times New Roman"/>
                <w:b w:val="false"/>
                <w:i w:val="false"/>
                <w:color w:val="000000"/>
                <w:sz w:val="20"/>
              </w:rPr>
              <w:t>
сводный баланс и отчет о доходах и расходах Организации (Фонда) в сравнении с предыдущим периодом прошлых лет и запланированные показатели деятельности;
</w:t>
            </w:r>
          </w:p>
          <w:p>
            <w:pPr>
              <w:spacing w:after="20"/>
              <w:ind w:left="20"/>
              <w:jc w:val="both"/>
            </w:pPr>
            <w:r>
              <w:rPr>
                <w:rFonts w:ascii="Times New Roman"/>
                <w:b w:val="false"/>
                <w:i w:val="false"/>
                <w:color w:val="000000"/>
                <w:sz w:val="20"/>
              </w:rPr>
              <w:t>
отчеты об инвестициях: с группировкой финансовых инструментов по их видам и указанием балансовой стоимости, рыночной стоимости, доходности и общей суммы покупок и продаж;
</w:t>
            </w:r>
          </w:p>
          <w:p>
            <w:pPr>
              <w:spacing w:after="20"/>
              <w:ind w:left="20"/>
              <w:jc w:val="both"/>
            </w:pPr>
            <w:r>
              <w:rPr>
                <w:rFonts w:ascii="Times New Roman"/>
                <w:b w:val="false"/>
                <w:i w:val="false"/>
                <w:color w:val="000000"/>
                <w:sz w:val="20"/>
              </w:rPr>
              <w:t>
отчет о сравнении объема активов и обязательств накопительного пенсионного фонда (гэп анализ);
</w:t>
            </w:r>
          </w:p>
          <w:p>
            <w:pPr>
              <w:spacing w:after="20"/>
              <w:ind w:left="20"/>
              <w:jc w:val="both"/>
            </w:pPr>
            <w:r>
              <w:rPr>
                <w:rFonts w:ascii="Times New Roman"/>
                <w:b w:val="false"/>
                <w:i w:val="false"/>
                <w:color w:val="000000"/>
                <w:sz w:val="20"/>
              </w:rPr>
              <w:t>
краткий анализ позиции Организации (Фонда) по процентному риску;
</w:t>
            </w:r>
          </w:p>
          <w:p>
            <w:pPr>
              <w:spacing w:after="20"/>
              <w:ind w:left="20"/>
              <w:jc w:val="both"/>
            </w:pPr>
            <w:r>
              <w:rPr>
                <w:rFonts w:ascii="Times New Roman"/>
                <w:b w:val="false"/>
                <w:i w:val="false"/>
                <w:color w:val="000000"/>
                <w:sz w:val="20"/>
              </w:rPr>
              <w:t>
краткий анализ подверженности Организации (Фонда) риску колебаний обменных курсов валют;
</w:t>
            </w:r>
          </w:p>
          <w:p>
            <w:pPr>
              <w:spacing w:after="20"/>
              <w:ind w:left="20"/>
              <w:jc w:val="both"/>
            </w:pPr>
            <w:r>
              <w:rPr>
                <w:rFonts w:ascii="Times New Roman"/>
                <w:b w:val="false"/>
                <w:i w:val="false"/>
                <w:color w:val="000000"/>
                <w:sz w:val="20"/>
              </w:rPr>
              <w:t>
краткий анализ текущих и прогнозируемых потребностей Организации (Фонда) в собственном капитале.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проводит контроль с выяснением причин невыполнения мер воздействия и иных требований уполномоченного органа, в том числе плана мероприятий по устранению недостатков в деятельности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анализирует ежегодные отчеты по функциональным обязанностям  руководящих работников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ежегодно анализирует деятельность правления на предмет достижения Организацией (Фондом) запланированных на текущий финансовый год целей.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в пределах своих полномочий может применить меры к членам правления Организации (Фонда) в случае несоответствия результатов деятельности Организации (Фонда) целевым показателям текущего года.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Схема организационно-функциональной структуры Организации (Фонда), в том числе регламентирует:
</w:t>
            </w:r>
          </w:p>
          <w:p>
            <w:pPr>
              <w:spacing w:after="20"/>
              <w:ind w:left="20"/>
              <w:jc w:val="both"/>
            </w:pPr>
            <w:r>
              <w:rPr>
                <w:rFonts w:ascii="Times New Roman"/>
                <w:b w:val="false"/>
                <w:i w:val="false"/>
                <w:color w:val="000000"/>
                <w:sz w:val="20"/>
              </w:rPr>
              <w:t>
полномочия и обязанности подразделения Организации (Фонда) или лица по управлению рисками, отвечающих за независимую оценку и анализ основных рисков, связанных с проводимыми Организацией (Фондом) операций; 
</w:t>
            </w:r>
          </w:p>
          <w:p>
            <w:pPr>
              <w:spacing w:after="20"/>
              <w:ind w:left="20"/>
              <w:jc w:val="both"/>
            </w:pPr>
            <w:r>
              <w:rPr>
                <w:rFonts w:ascii="Times New Roman"/>
                <w:b w:val="false"/>
                <w:i w:val="false"/>
                <w:color w:val="000000"/>
                <w:sz w:val="20"/>
              </w:rPr>
              <w:t>
структуру органов управления Организации (Фонда), соответствующую их функциональным обязанностям;
</w:t>
            </w:r>
          </w:p>
          <w:p>
            <w:pPr>
              <w:spacing w:after="20"/>
              <w:ind w:left="20"/>
              <w:jc w:val="both"/>
            </w:pPr>
            <w:r>
              <w:rPr>
                <w:rFonts w:ascii="Times New Roman"/>
                <w:b w:val="false"/>
                <w:i w:val="false"/>
                <w:color w:val="000000"/>
                <w:sz w:val="20"/>
              </w:rPr>
              <w:t>
должностные обязанности и полномочия каждого руководящего работника Организации (Фонда);
</w:t>
            </w:r>
          </w:p>
          <w:p>
            <w:pPr>
              <w:spacing w:after="20"/>
              <w:ind w:left="20"/>
              <w:jc w:val="both"/>
            </w:pPr>
            <w:r>
              <w:rPr>
                <w:rFonts w:ascii="Times New Roman"/>
                <w:b w:val="false"/>
                <w:i w:val="false"/>
                <w:color w:val="000000"/>
                <w:sz w:val="20"/>
              </w:rPr>
              <w:t>
порядок оценки деятельности руководящего работника Организации (Фонда) (за исключением членов правления) в течение отчетного года, в том числе применение мер или привлечение к ответственности за невыполнение Организацией (Фондом) целевых показателей деятельности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Составление годовых бюджетов и стратегических планов проводится правлением с учетом текущей и будущей конкурентной, экономической среды и нормативной правовой базы, дополнительно необходимого размера капитала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Политика управления рисками предусматривает:    
</w:t>
            </w:r>
          </w:p>
          <w:p>
            <w:pPr>
              <w:spacing w:after="20"/>
              <w:ind w:left="20"/>
              <w:jc w:val="both"/>
            </w:pPr>
            <w:r>
              <w:rPr>
                <w:rFonts w:ascii="Times New Roman"/>
                <w:b w:val="false"/>
                <w:i w:val="false"/>
                <w:color w:val="000000"/>
                <w:sz w:val="20"/>
              </w:rPr>
              <w:t>
положения, регламентирующие полномочия и функциональные обязанности руководящих работников Организации (Фонда), в том числе предусматривающие обеспечение двойного контроля правильности совершения операций по купле/продаже финансовых инструментов и контроля связанного с ними риска.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проводит проверки руководящих работников на предмет выявления концентрации у них полномочий и функций по управлению деятельностью Организации (Фонда), а также соответствия проводимых операций утвержденной корпоративной стратегии, политикам и процедурам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Политики по управлению рисками определяют полномочия и функциональные обязанности по управлению рисками членов совета директоров, правления и ответственных работников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Перечень управленческой информации, представляемой совету директоров и правлению Организации (Фонда), достаточен для надлежащего исполнения советом директоров и правлением Организации (Фонда) собственных функциональных обязанностей по управлению рисками.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Персонал подразделения по управлению рисками соответствует квалификационным требованиям к руководящим работникам, в том числе предусматривающим наличие стажа, соответствующей квалификации и опыта работы для осуществления функциональных обязанностей по управлению рисками.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Функциональные обязанности персонала подразделения Организации (Фонда) по управлению рисками и службы внутреннего аудита соответствуют проводимым ими операциям.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Политики Организации (Фонда) по работе с пенсионными активами включают: 
</w:t>
            </w:r>
          </w:p>
          <w:p>
            <w:pPr>
              <w:spacing w:after="20"/>
              <w:ind w:left="20"/>
              <w:jc w:val="both"/>
            </w:pPr>
            <w:r>
              <w:rPr>
                <w:rFonts w:ascii="Times New Roman"/>
                <w:b w:val="false"/>
                <w:i w:val="false"/>
                <w:color w:val="000000"/>
                <w:sz w:val="20"/>
              </w:rPr>
              <w:t>
процедуры проверки соответствия договоров о пенсионном обеспечении законодательству Республики Казахстан;
</w:t>
            </w:r>
          </w:p>
          <w:p>
            <w:pPr>
              <w:spacing w:after="20"/>
              <w:ind w:left="20"/>
              <w:jc w:val="both"/>
            </w:pPr>
            <w:r>
              <w:rPr>
                <w:rFonts w:ascii="Times New Roman"/>
                <w:b w:val="false"/>
                <w:i w:val="false"/>
                <w:color w:val="000000"/>
                <w:sz w:val="20"/>
              </w:rPr>
              <w:t>
процедуры, обеспечивающие достоверность учета и своевременность поступления средств на  индивидуальные пенсионные счета вкладчиков (получателей), выплат и переводов пенсионных накоплений;
</w:t>
            </w:r>
          </w:p>
          <w:p>
            <w:pPr>
              <w:spacing w:after="20"/>
              <w:ind w:left="20"/>
              <w:jc w:val="both"/>
            </w:pPr>
            <w:r>
              <w:rPr>
                <w:rFonts w:ascii="Times New Roman"/>
                <w:b w:val="false"/>
                <w:i w:val="false"/>
                <w:color w:val="000000"/>
                <w:sz w:val="20"/>
              </w:rPr>
              <w:t>
процедуры, гарантирующие рассмотрение в установленный срок претензий вкладчиков (получателей) по договорам о пенсионном обеспечении, своевременность восстановления потери пенсионных накоплений в момент  их перевода или выплаты;
</w:t>
            </w:r>
          </w:p>
          <w:p>
            <w:pPr>
              <w:spacing w:after="20"/>
              <w:ind w:left="20"/>
              <w:jc w:val="both"/>
            </w:pPr>
            <w:r>
              <w:rPr>
                <w:rFonts w:ascii="Times New Roman"/>
                <w:b w:val="false"/>
                <w:i w:val="false"/>
                <w:color w:val="000000"/>
                <w:sz w:val="20"/>
              </w:rPr>
              <w:t>
процедуры, обеспечивающие мониторинг соответствия учета пенсионных активов и своевременности инвестирования пенсионных активов в соответствии с требованиями законодательства Республики Казахстан;
</w:t>
            </w:r>
          </w:p>
          <w:p>
            <w:pPr>
              <w:spacing w:after="20"/>
              <w:ind w:left="20"/>
              <w:jc w:val="both"/>
            </w:pPr>
            <w:r>
              <w:rPr>
                <w:rFonts w:ascii="Times New Roman"/>
                <w:b w:val="false"/>
                <w:i w:val="false"/>
                <w:color w:val="000000"/>
                <w:sz w:val="20"/>
              </w:rPr>
              <w:t>
проверку правильности начисления и выплаты комиссионного вознаграждения фондом;
</w:t>
            </w:r>
          </w:p>
          <w:p>
            <w:pPr>
              <w:spacing w:after="20"/>
              <w:ind w:left="20"/>
              <w:jc w:val="both"/>
            </w:pPr>
            <w:r>
              <w:rPr>
                <w:rFonts w:ascii="Times New Roman"/>
                <w:b w:val="false"/>
                <w:i w:val="false"/>
                <w:color w:val="000000"/>
                <w:sz w:val="20"/>
              </w:rPr>
              <w:t>
инвестиционную политику, которая включает:
</w:t>
            </w:r>
          </w:p>
          <w:p>
            <w:pPr>
              <w:spacing w:after="20"/>
              <w:ind w:left="20"/>
              <w:jc w:val="both"/>
            </w:pPr>
            <w:r>
              <w:rPr>
                <w:rFonts w:ascii="Times New Roman"/>
                <w:b w:val="false"/>
                <w:i w:val="false"/>
                <w:color w:val="000000"/>
                <w:sz w:val="20"/>
              </w:rPr>
              <w:t>
порядок принятия инвестиционных решений в отношении пенсионных активов;
</w:t>
            </w:r>
          </w:p>
          <w:p>
            <w:pPr>
              <w:spacing w:after="20"/>
              <w:ind w:left="20"/>
              <w:jc w:val="both"/>
            </w:pPr>
            <w:r>
              <w:rPr>
                <w:rFonts w:ascii="Times New Roman"/>
                <w:b w:val="false"/>
                <w:i w:val="false"/>
                <w:color w:val="000000"/>
                <w:sz w:val="20"/>
              </w:rPr>
              <w:t>
порядок совершения сделок с участием пенсионных активов и осуществления контроля за их совершением; 
</w:t>
            </w:r>
          </w:p>
          <w:p>
            <w:pPr>
              <w:spacing w:after="20"/>
              <w:ind w:left="20"/>
              <w:jc w:val="both"/>
            </w:pPr>
            <w:r>
              <w:rPr>
                <w:rFonts w:ascii="Times New Roman"/>
                <w:b w:val="false"/>
                <w:i w:val="false"/>
                <w:color w:val="000000"/>
                <w:sz w:val="20"/>
              </w:rPr>
              <w:t>
порядок внутреннего контроля за обеспечением целостности 
</w:t>
            </w:r>
            <w:r>
              <w:br/>
            </w:r>
            <w:r>
              <w:rPr>
                <w:rFonts w:ascii="Times New Roman"/>
                <w:b w:val="false"/>
                <w:i w:val="false"/>
                <w:color w:val="000000"/>
                <w:sz w:val="20"/>
              </w:rPr>
              <w:t>
данных и конфиденциальностью информации;
</w:t>
            </w:r>
          </w:p>
          <w:p>
            <w:pPr>
              <w:spacing w:after="20"/>
              <w:ind w:left="20"/>
              <w:jc w:val="both"/>
            </w:pPr>
            <w:r>
              <w:rPr>
                <w:rFonts w:ascii="Times New Roman"/>
                <w:b w:val="false"/>
                <w:i w:val="false"/>
                <w:color w:val="000000"/>
                <w:sz w:val="20"/>
              </w:rPr>
              <w:t>
процедуры принятия инвестиционных решений, а также выдачи рекомендаций для принятия инвестиционных решений;  
</w:t>
            </w:r>
          </w:p>
          <w:p>
            <w:pPr>
              <w:spacing w:after="20"/>
              <w:ind w:left="20"/>
              <w:jc w:val="both"/>
            </w:pPr>
            <w:r>
              <w:rPr>
                <w:rFonts w:ascii="Times New Roman"/>
                <w:b w:val="false"/>
                <w:i w:val="false"/>
                <w:color w:val="000000"/>
                <w:sz w:val="20"/>
              </w:rPr>
              <w:t>
политику и процедуры хеджирования финансовых инструментов, приобретенных за счет пенсионных активов;
</w:t>
            </w:r>
          </w:p>
          <w:p>
            <w:pPr>
              <w:spacing w:after="20"/>
              <w:ind w:left="20"/>
              <w:jc w:val="both"/>
            </w:pPr>
            <w:r>
              <w:rPr>
                <w:rFonts w:ascii="Times New Roman"/>
                <w:b w:val="false"/>
                <w:i w:val="false"/>
                <w:color w:val="000000"/>
                <w:sz w:val="20"/>
              </w:rPr>
              <w:t>
размеры комиссионного вознаграждения Организации (Фонда), взимаемого от пенсионных активов и инвестиционных доходов, а также условия предоставления данной информации вкладчикам (получателям).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Политика Организации (Фонда) по внутреннему аудиту определяет:
</w:t>
            </w:r>
            <w:r>
              <w:br/>
            </w:r>
            <w:r>
              <w:rPr>
                <w:rFonts w:ascii="Times New Roman"/>
                <w:b w:val="false"/>
                <w:i w:val="false"/>
                <w:color w:val="000000"/>
                <w:sz w:val="20"/>
              </w:rPr>
              <w:t>
все риски, которым подвержена Организация (Фонд);
</w:t>
            </w:r>
            <w:r>
              <w:br/>
            </w:r>
            <w:r>
              <w:rPr>
                <w:rFonts w:ascii="Times New Roman"/>
                <w:b w:val="false"/>
                <w:i w:val="false"/>
                <w:color w:val="000000"/>
                <w:sz w:val="20"/>
              </w:rPr>
              <w:t>
масштаб и частоту проведения внутреннего аудита; 
</w:t>
            </w:r>
            <w:r>
              <w:br/>
            </w:r>
            <w:r>
              <w:rPr>
                <w:rFonts w:ascii="Times New Roman"/>
                <w:b w:val="false"/>
                <w:i w:val="false"/>
                <w:color w:val="000000"/>
                <w:sz w:val="20"/>
              </w:rPr>
              <w:t>
рейтинговую систему, используемую при проведении внутреннего аудита;
</w:t>
            </w:r>
            <w:r>
              <w:br/>
            </w:r>
            <w:r>
              <w:rPr>
                <w:rFonts w:ascii="Times New Roman"/>
                <w:b w:val="false"/>
                <w:i w:val="false"/>
                <w:color w:val="000000"/>
                <w:sz w:val="20"/>
              </w:rPr>
              <w:t>
требования к составлению плана проведения внутреннего аудита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в соответствии с политиками аудита проводит регулярные внутренние проверки всех подразделений Организации (Фонда), функции которых предусматривают проведение операций с финансовыми инструментами.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в соответствии с политиками аудита проводит регулярные внутренние проверки операций, совершаемых за счет пенсионных активов, правильность совершения сделок с участием пенсионных активов  и осуществления сверок с банками-кастодианами и фондами, правильность ведения учета и документооборота.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на регулярной основе проводит проверки достоверности информации содержащейся в журналах учета сделок с участием пенсионных активов.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Персонал службы внутреннего аудита соответствует квалификационным требованиям Организации (Фонда), а также обладает опытом работы и необходимыми знаниями о деятельности подразделений Организации (Фонда), в которых проводятся проверки.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Внутренними политиками Организации (Фонда) предусматривается право  доступа службы внутреннего аудита  ко всем необходимым документам, связанным с деятельностью проверяемого подразделения, в том числе составляющим коммерческую или иную охраняемую законом тайну, или имеющую режим конфиденциальности.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Внутренними политиками Организации (Фонда) по внутреннему аудиту устанавливается независимость исполнения функциональных обязанностей от руководящих работников или других подразделений Организации (Фонда), и подотчетность службы внутреннего аудита совету директоров.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совместно с внешним аудитором Организации (Фонда), не реже одного раза в год, проводит совместные встречи для обсуждения выявленных  внутренним или внешним аудитором недостатков в системе внутреннего контроля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Политиками внутреннего аудита предусматриваются оптимальные сроки представления службой внутреннего аудита результатов каждой проверки совету директоров и правлению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Полномочия службы внутреннего аудита предусматривают подготовку предложений по результатам проведенной проверки, исполнение которых является обязательным для подразделений, при этом способы и условия их осуществления определяются непосредственно подразделениями и утверждаются Правлением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осуществляет мониторинг проводимых и планируемых подразделениями Организации (Фонда) мероприятий, предпринимаемых по результатам внутреннего аудита, с целью их оптимального выполнения.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Внутренними политиками установлено подразделение Организации (Фонда), которое ежемесячно отслеживает доходы (расходы) Организации (Фонда), в том числе в динамике, в разрезе, по видам деятельности, территориальным и функциональным подразделениям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Внутренними политиками предусмотрены полномочия подразделений Организации (Фонда) по управлению доходами (расходами), связанных с деятельностью подразделения, в пределах совокупных лимитов, установленных советом директоров.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обеспечивает соответствие собственного капитала Организации (Фонда) минимально требуемому уровню в соответствии с законодательством Республики Казахстан.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Правлением в пределах совокупных лимитов рисков, установленных советом директоров, определяются лимиты риска для каждого из подразделений Организации (Фонда), осуществляющих финансовые операции.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по результатам проводимых проверок определяет уровень владения персоналом Организации (Фонда) знаниями нормативных правовых актов Республики Казахстан, регулирующих деятельность Организации (Фонда), международных стандартов, законодательства Республики Казахстан в области пенсионного обеспечения.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проводит оценку возможности появления дополнительных существенных рисков Организации (Фонда), связанных с соблюдением нормативных правовых актов Республики Казахстан, регулирующих деятельность Организации (Фонда), при внедрении новых видов финансовых услуг.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Советом директоров утверждены формы и сроки  представления правлением совету директоров и акционерам Организации (Фонда) финансовой и управленческой отчетности, обеспечивающей возможность оценки финансовых показателей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на регулярной основе анализирует инвестиционные решения и рекомендации к ним.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анализирует заключения внешних аудиторов по улучшению внутреннего контроля и управлению рисками.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Политики Организации (Фонда) по учету и отчетности, в том числе предусматривают в ходе аудита Организации (Фонда) проверку следующих вопросов:
</w:t>
            </w:r>
            <w:r>
              <w:br/>
            </w:r>
            <w:r>
              <w:rPr>
                <w:rFonts w:ascii="Times New Roman"/>
                <w:b w:val="false"/>
                <w:i w:val="false"/>
                <w:color w:val="000000"/>
                <w:sz w:val="20"/>
              </w:rPr>
              <w:t>
правильность обработки ежедневных балансов;
</w:t>
            </w:r>
            <w:r>
              <w:br/>
            </w:r>
            <w:r>
              <w:rPr>
                <w:rFonts w:ascii="Times New Roman"/>
                <w:b w:val="false"/>
                <w:i w:val="false"/>
                <w:color w:val="000000"/>
                <w:sz w:val="20"/>
              </w:rPr>
              <w:t>
соответствие учетной политики Организации (Фонда) международным стандартам финансовой отчетности;
</w:t>
            </w:r>
            <w:r>
              <w:br/>
            </w:r>
            <w:r>
              <w:rPr>
                <w:rFonts w:ascii="Times New Roman"/>
                <w:b w:val="false"/>
                <w:i w:val="false"/>
                <w:color w:val="000000"/>
                <w:sz w:val="20"/>
              </w:rPr>
              <w:t>
наличие фактов необоснованных бухгалтерских манипуляций финансовыми отчетами;
</w:t>
            </w:r>
            <w:r>
              <w:br/>
            </w:r>
            <w:r>
              <w:rPr>
                <w:rFonts w:ascii="Times New Roman"/>
                <w:b w:val="false"/>
                <w:i w:val="false"/>
                <w:color w:val="000000"/>
                <w:sz w:val="20"/>
              </w:rPr>
              <w:t>
правильность учета собственных и пенсионных активов;
</w:t>
            </w:r>
            <w:r>
              <w:br/>
            </w:r>
            <w:r>
              <w:rPr>
                <w:rFonts w:ascii="Times New Roman"/>
                <w:b w:val="false"/>
                <w:i w:val="false"/>
                <w:color w:val="000000"/>
                <w:sz w:val="20"/>
              </w:rPr>
              <w:t>
соответствие методов учета и составления отчетности требованиям, установленным в учетной политике Организации (Фонда);
</w:t>
            </w:r>
            <w:r>
              <w:br/>
            </w:r>
            <w:r>
              <w:rPr>
                <w:rFonts w:ascii="Times New Roman"/>
                <w:b w:val="false"/>
                <w:i w:val="false"/>
                <w:color w:val="000000"/>
                <w:sz w:val="20"/>
              </w:rPr>
              <w:t>
полнота и правильность раскрытия Организацией (Фондом) в годовом отчете структуры и размера рисков.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рисками прогнозирует воздействие на пенсионные активы, рентабельность и ликвидность следующих факторов:
</w:t>
            </w:r>
            <w:r>
              <w:br/>
            </w:r>
            <w:r>
              <w:rPr>
                <w:rFonts w:ascii="Times New Roman"/>
                <w:b w:val="false"/>
                <w:i w:val="false"/>
                <w:color w:val="000000"/>
                <w:sz w:val="20"/>
              </w:rPr>
              <w:t>
полное либо частичное невыполнение контрпартнерами своих обязательств по контрактам;
</w:t>
            </w:r>
            <w:r>
              <w:br/>
            </w:r>
            <w:r>
              <w:rPr>
                <w:rFonts w:ascii="Times New Roman"/>
                <w:b w:val="false"/>
                <w:i w:val="false"/>
                <w:color w:val="000000"/>
                <w:sz w:val="20"/>
              </w:rPr>
              <w:t>
понижение суверенного долгового рейтинга Республики Казахстан на один уровень за три месяца и на два уровня за один год;досрочное погашение долгосрочных финансовых инструментов;
</w:t>
            </w:r>
            <w:r>
              <w:br/>
            </w:r>
            <w:r>
              <w:rPr>
                <w:rFonts w:ascii="Times New Roman"/>
                <w:b w:val="false"/>
                <w:i w:val="false"/>
                <w:color w:val="000000"/>
                <w:sz w:val="20"/>
              </w:rPr>
              <w:t>
девальвация/ревальвация курса тенге.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рисками проводит регулярный анализ:
</w:t>
            </w:r>
            <w:r>
              <w:br/>
            </w:r>
            <w:r>
              <w:rPr>
                <w:rFonts w:ascii="Times New Roman"/>
                <w:b w:val="false"/>
                <w:i w:val="false"/>
                <w:color w:val="000000"/>
                <w:sz w:val="20"/>
              </w:rPr>
              <w:t>
балансовых и внебалансовых отчетов Организации (Фонда), а также доходов и расходов, чувствительных к изменению экономических условий;
</w:t>
            </w:r>
            <w:r>
              <w:br/>
            </w:r>
            <w:r>
              <w:rPr>
                <w:rFonts w:ascii="Times New Roman"/>
                <w:b w:val="false"/>
                <w:i w:val="false"/>
                <w:color w:val="000000"/>
                <w:sz w:val="20"/>
              </w:rPr>
              <w:t>
снижения ликвидности, изменения цен на финансовые инструменты;
</w:t>
            </w:r>
            <w:r>
              <w:br/>
            </w:r>
            <w:r>
              <w:rPr>
                <w:rFonts w:ascii="Times New Roman"/>
                <w:b w:val="false"/>
                <w:i w:val="false"/>
                <w:color w:val="000000"/>
                <w:sz w:val="20"/>
              </w:rPr>
              <w:t>
портфеля долговых ценных бумаг, в зависимости от финансового состояния заемщика, его возможности по погашению основной суммы долга и начисленных процентов;
</w:t>
            </w:r>
            <w:r>
              <w:br/>
            </w:r>
            <w:r>
              <w:rPr>
                <w:rFonts w:ascii="Times New Roman"/>
                <w:b w:val="false"/>
                <w:i w:val="false"/>
                <w:color w:val="000000"/>
                <w:sz w:val="20"/>
              </w:rPr>
              <w:t>
распределения активов, обязательств и забалансовых статей, чувствительных к изменению процентных ставок, в соответствии со сроком их погашения (гэп-анализ);
</w:t>
            </w:r>
            <w:r>
              <w:br/>
            </w:r>
            <w:r>
              <w:rPr>
                <w:rFonts w:ascii="Times New Roman"/>
                <w:b w:val="false"/>
                <w:i w:val="false"/>
                <w:color w:val="000000"/>
                <w:sz w:val="20"/>
              </w:rPr>
              <w:t>
активов, обязательств и забалансовых статей, чувствительных к изменению курса иностранных валют.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проведению операций с финансовыми инструментами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Система двойного контроля предусматривает:
</w:t>
            </w:r>
            <w:r>
              <w:br/>
            </w:r>
            <w:r>
              <w:rPr>
                <w:rFonts w:ascii="Times New Roman"/>
                <w:b w:val="false"/>
                <w:i w:val="false"/>
                <w:color w:val="000000"/>
                <w:sz w:val="20"/>
              </w:rPr>
              <w:t>
разделение фронт- и бэк-офисов;
</w:t>
            </w:r>
            <w:r>
              <w:br/>
            </w:r>
            <w:r>
              <w:rPr>
                <w:rFonts w:ascii="Times New Roman"/>
                <w:b w:val="false"/>
                <w:i w:val="false"/>
                <w:color w:val="000000"/>
                <w:sz w:val="20"/>
              </w:rPr>
              <w:t>
возможность бэк-офиса своевременно проверить условия операций во фронт-офисе;
</w:t>
            </w:r>
            <w:r>
              <w:br/>
            </w:r>
            <w:r>
              <w:rPr>
                <w:rFonts w:ascii="Times New Roman"/>
                <w:b w:val="false"/>
                <w:i w:val="false"/>
                <w:color w:val="000000"/>
                <w:sz w:val="20"/>
              </w:rPr>
              <w:t>
меры ограничения возможного сговора между участниками системы двойного контроля;
</w:t>
            </w:r>
            <w:r>
              <w:br/>
            </w:r>
            <w:r>
              <w:rPr>
                <w:rFonts w:ascii="Times New Roman"/>
                <w:b w:val="false"/>
                <w:i w:val="false"/>
                <w:color w:val="000000"/>
                <w:sz w:val="20"/>
              </w:rPr>
              <w:t>
запрет на исполнение одним и тем же лицом обязанностей одновременно во фронт- и бэк-офисах и подразделениях.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проверяет операции Организации (Фонда) в целях выявления и предотвращения случаев злоупотребления при осуществлении операций с доходами и принятием риска, неадекватного размеру собственного капитала и доходов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технической системой обеспечения операций по купле/продаже финансовых инструментов.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системой по сбору информации, необходимой для управления рисками.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технической системой для проведения расчетов по деньгам и финансовым инструментам.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и внешние аудиторы проверяют точность сведений, предоставляемых подразделениями Организации (Фонда), отвечающими за ведение бухгалтерского учета и отчетности, в подразделение управления рисками.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рисками осуществляет мониторинг правильности определения Организацией (Фондом) справедливой цены по финансовым инструментам.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Советом директоров периодически определяются совокупный лимит и правила установления лимитов "stop-loss".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Организации (Фонда), осуществляющее операции по купле /продаже финансовых инструментов в течение рабочего дня представляет правлению Организации (Фонда) позиции Организации (Фонда) по финансовым инструментам.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устанавливает процедуры определения лимитов по финансовым инструментам и правила определения лимитов "stop-loss".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устанавливает лимиты позиций по принятым в международной практике операциям спот, форварду, своп по каждому виду иностранных валют и по всем валютам.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рисками использует ежедневную таблицу сроков погашения активов и обязательств для управления сроками погашения спот и форвардных операций.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утвердил инвестиционную политику, в которой определены:
</w:t>
            </w:r>
            <w:r>
              <w:br/>
            </w:r>
            <w:r>
              <w:rPr>
                <w:rFonts w:ascii="Times New Roman"/>
                <w:b w:val="false"/>
                <w:i w:val="false"/>
                <w:color w:val="000000"/>
                <w:sz w:val="20"/>
              </w:rPr>
              <w:t>
цели инвестирования, полномочия по утверждению операций инвестирования, а также планов и лимитов инвестирования; 
</w:t>
            </w:r>
            <w:r>
              <w:br/>
            </w:r>
            <w:r>
              <w:rPr>
                <w:rFonts w:ascii="Times New Roman"/>
                <w:b w:val="false"/>
                <w:i w:val="false"/>
                <w:color w:val="000000"/>
                <w:sz w:val="20"/>
              </w:rPr>
              <w:t>
процедуры отделения функций проведения инвестиционных операций от иных функций, связанных с оказанием финансовых услуг, в целях недопущения операций с использованием конфиденциальной информации;
</w:t>
            </w:r>
            <w:r>
              <w:br/>
            </w:r>
            <w:r>
              <w:rPr>
                <w:rFonts w:ascii="Times New Roman"/>
                <w:b w:val="false"/>
                <w:i w:val="false"/>
                <w:color w:val="000000"/>
                <w:sz w:val="20"/>
              </w:rPr>
              <w:t>
инвестиционные критерии по видам финансовых инструментов, целям инвестиционной деятельности;
</w:t>
            </w:r>
            <w:r>
              <w:br/>
            </w:r>
            <w:r>
              <w:rPr>
                <w:rFonts w:ascii="Times New Roman"/>
                <w:b w:val="false"/>
                <w:i w:val="false"/>
                <w:color w:val="000000"/>
                <w:sz w:val="20"/>
              </w:rPr>
              <w:t>
процедуры анализа наличия, условия обращения и доходности финансовых инструментов.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утвердило процедуры ежедневного мониторинга инвестиционных операций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Результаты мониторинга вместе с отчетом о доходах/расходах по портфелю инвестиций ежемесячно представляются правлению и совету директоров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рисками осуществляет мониторинг инвестиционного портфеля Организации (Фонда) по виду финансового инструмента, эмитента, срокам обращения, видам валют и целям инвестирования.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Процедуры структурирования предусматривают:
</w:t>
            </w:r>
            <w:r>
              <w:br/>
            </w:r>
            <w:r>
              <w:rPr>
                <w:rFonts w:ascii="Times New Roman"/>
                <w:b w:val="false"/>
                <w:i w:val="false"/>
                <w:color w:val="000000"/>
                <w:sz w:val="20"/>
              </w:rPr>
              <w:t>
проведение не менее чем раз в месяц  переоценки портфеля инвестиций по рыночной стоимости;
</w:t>
            </w:r>
            <w:r>
              <w:br/>
            </w:r>
            <w:r>
              <w:rPr>
                <w:rFonts w:ascii="Times New Roman"/>
                <w:b w:val="false"/>
                <w:i w:val="false"/>
                <w:color w:val="000000"/>
                <w:sz w:val="20"/>
              </w:rPr>
              <w:t>
проведение не менее чем раз в полгода оценки финансовых результатов инвестиций, с учетом стоимости привлечения средств, доходов/расходов за каждый отчетный период.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определило оперативные процедуры по недопущению чрезмерных расходов по операциям с финансовыми инструментами, в том числе  связанных с резким колебанием цен на рынке финансовых инструментов.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проводит анализ изменения доходов/расходов от операций с финансовыми инструментами с учетом  динамики их рыночной стоимости.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w:t>
            </w:r>
            <w:r>
              <w:br/>
            </w:r>
            <w:r>
              <w:rPr>
                <w:rFonts w:ascii="Times New Roman"/>
                <w:b w:val="false"/>
                <w:i w:val="false"/>
                <w:color w:val="000000"/>
                <w:sz w:val="20"/>
              </w:rPr>
              <w:t>
рассматривает вопросы управления активами и обязательствами;
</w:t>
            </w:r>
            <w:r>
              <w:br/>
            </w:r>
            <w:r>
              <w:rPr>
                <w:rFonts w:ascii="Times New Roman"/>
                <w:b w:val="false"/>
                <w:i w:val="false"/>
                <w:color w:val="000000"/>
                <w:sz w:val="20"/>
              </w:rPr>
              <w:t>
взаимодействует с подразделением управления рисками;
</w:t>
            </w:r>
            <w:r>
              <w:br/>
            </w:r>
            <w:r>
              <w:rPr>
                <w:rFonts w:ascii="Times New Roman"/>
                <w:b w:val="false"/>
                <w:i w:val="false"/>
                <w:color w:val="000000"/>
                <w:sz w:val="20"/>
              </w:rPr>
              <w:t>
еженедельно отслеживает риск потери ликвидности, процентный риск и валютный риск по балансовым и внебалансовым операциям;
</w:t>
            </w:r>
            <w:r>
              <w:br/>
            </w:r>
            <w:r>
              <w:rPr>
                <w:rFonts w:ascii="Times New Roman"/>
                <w:b w:val="false"/>
                <w:i w:val="false"/>
                <w:color w:val="000000"/>
                <w:sz w:val="20"/>
              </w:rPr>
              <w:t>
еженедельно информирует правление и ежемесячно - совет директоров по позиции Организации (Фонда) по риску потери ликвидности, процентному и валютному рискам, в динамике и по видам операций купли/продажи;
</w:t>
            </w:r>
            <w:r>
              <w:br/>
            </w:r>
            <w:r>
              <w:rPr>
                <w:rFonts w:ascii="Times New Roman"/>
                <w:b w:val="false"/>
                <w:i w:val="false"/>
                <w:color w:val="000000"/>
                <w:sz w:val="20"/>
              </w:rPr>
              <w:t>
дает рекомендации по приемлемому уровню доходности приобретаемых финансовых инструментов.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w:t>
            </w:r>
            <w:r>
              <w:br/>
            </w:r>
            <w:r>
              <w:rPr>
                <w:rFonts w:ascii="Times New Roman"/>
                <w:b w:val="false"/>
                <w:i w:val="false"/>
                <w:color w:val="000000"/>
                <w:sz w:val="20"/>
              </w:rPr>
              <w:t>
ежедневно составляет график потока денег и проводит мониторинг гэп-позиции ликвидности на ближайшие десять рабочих дней;
</w:t>
            </w:r>
            <w:r>
              <w:br/>
            </w:r>
            <w:r>
              <w:rPr>
                <w:rFonts w:ascii="Times New Roman"/>
                <w:b w:val="false"/>
                <w:i w:val="false"/>
                <w:color w:val="000000"/>
                <w:sz w:val="20"/>
              </w:rPr>
              <w:t>
регулярно (например, еженедельно) составляет график сроков погашения активов и обязательств в соответствии с датой расчетов и проводит мониторинг гэп-позиции ликвидности на ежедневной, еженедельной и ежемесячной основе;
</w:t>
            </w:r>
            <w:r>
              <w:br/>
            </w:r>
            <w:r>
              <w:rPr>
                <w:rFonts w:ascii="Times New Roman"/>
                <w:b w:val="false"/>
                <w:i w:val="false"/>
                <w:color w:val="000000"/>
                <w:sz w:val="20"/>
              </w:rPr>
              <w:t>
осуществляет мониторинг и управление гэп-позициями ликвидности по каждой валюте без конвертации в национальную валюту или другую иностранную валюту.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осуществляет контроль ликвидности с учетом  предполагаемого объема погашения внебалансовых операций Организации (Фонда).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устанавливает лимиты на гэп-позиции по высоколиквидным активам с учетом возможности мобилизации ликвидных активов.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активами  и обязательствами регулярно проводит обзор лимитов по гэп-позициям наличных денег с учетом изменения способности Организации (Фонда) мобилизовать ликвидные активы.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регулярно проводит мониторинг способности сформировать ликвидные активы в иностранной валюте необходимые для погашения обязательств в иностранной валюте.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регулярно, не менее чем раз в квартал, определяет уровни доходности по срокам погашения, с учетом допущений вводимых в VAR модель и регулярно проводит мониторинг показателей дюрации по активам и обязательствам, чувствительных к изменению ставок вознаграждения.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осуществляет мониторинг процентного риска, основные источники процентного риска (различия в сроках погашения, ставки рынка заемного капитала, встроенные опционы).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активами и обязательствами располагает вспомогательной системой для всестороннего анализа изменений валютных курсов.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в функции которого входит принятие инвестиционных решений в отношении пенсионных активов:
</w:t>
            </w:r>
          </w:p>
          <w:p>
            <w:pPr>
              <w:spacing w:after="20"/>
              <w:ind w:left="20"/>
              <w:jc w:val="both"/>
            </w:pPr>
            <w:r>
              <w:rPr>
                <w:rFonts w:ascii="Times New Roman"/>
                <w:b w:val="false"/>
                <w:i w:val="false"/>
                <w:color w:val="000000"/>
                <w:sz w:val="20"/>
              </w:rPr>
              <w:t>
располагает вспомогательной системой для анализа изменения валютных курсов;
</w:t>
            </w:r>
          </w:p>
          <w:p>
            <w:pPr>
              <w:spacing w:after="20"/>
              <w:ind w:left="20"/>
              <w:jc w:val="both"/>
            </w:pPr>
            <w:r>
              <w:rPr>
                <w:rFonts w:ascii="Times New Roman"/>
                <w:b w:val="false"/>
                <w:i w:val="false"/>
                <w:color w:val="000000"/>
                <w:sz w:val="20"/>
              </w:rPr>
              <w:t>
регулярно анализирует открытые валютные позиции или модели, в которых проводится оценка стоимости валютных инструментов, для определения чувствительности к изменениям валютных курсов.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к обеспечению операционной деятельности Организаций (Фондов), функционирования информационных систем и систем управленческой информации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процедуры регламентируют:
</w:t>
            </w:r>
            <w:r>
              <w:br/>
            </w:r>
            <w:r>
              <w:rPr>
                <w:rFonts w:ascii="Times New Roman"/>
                <w:b w:val="false"/>
                <w:i w:val="false"/>
                <w:color w:val="000000"/>
                <w:sz w:val="20"/>
              </w:rPr>
              <w:t>
подразделение, обеспечивающее руководство производственной деятельностью Организации (Фонда);
</w:t>
            </w:r>
            <w:r>
              <w:br/>
            </w:r>
            <w:r>
              <w:rPr>
                <w:rFonts w:ascii="Times New Roman"/>
                <w:b w:val="false"/>
                <w:i w:val="false"/>
                <w:color w:val="000000"/>
                <w:sz w:val="20"/>
              </w:rPr>
              <w:t>
технический порядок проведения операций на рынке ценных бумаг;
</w:t>
            </w:r>
            <w:r>
              <w:br/>
            </w:r>
            <w:r>
              <w:rPr>
                <w:rFonts w:ascii="Times New Roman"/>
                <w:b w:val="false"/>
                <w:i w:val="false"/>
                <w:color w:val="000000"/>
                <w:sz w:val="20"/>
              </w:rPr>
              <w:t>
бухгалтерский учет операций Организации (Фонда);
</w:t>
            </w:r>
            <w:r>
              <w:br/>
            </w:r>
            <w:r>
              <w:rPr>
                <w:rFonts w:ascii="Times New Roman"/>
                <w:b w:val="false"/>
                <w:i w:val="false"/>
                <w:color w:val="000000"/>
                <w:sz w:val="20"/>
              </w:rPr>
              <w:t>
двойной контроль операций Организации (Фонда) и их учет;
</w:t>
            </w:r>
            <w:r>
              <w:br/>
            </w:r>
            <w:r>
              <w:rPr>
                <w:rFonts w:ascii="Times New Roman"/>
                <w:b w:val="false"/>
                <w:i w:val="false"/>
                <w:color w:val="000000"/>
                <w:sz w:val="20"/>
              </w:rPr>
              <w:t>
контроль документооборота Организации (Фонда);
</w:t>
            </w:r>
            <w:r>
              <w:br/>
            </w:r>
            <w:r>
              <w:rPr>
                <w:rFonts w:ascii="Times New Roman"/>
                <w:b w:val="false"/>
                <w:i w:val="false"/>
                <w:color w:val="000000"/>
                <w:sz w:val="20"/>
              </w:rPr>
              <w:t>
контроль и верификация информации, передаваемой Организацией (Фондом) банку-кастодиану, накопительному пенсионному фонду, в том числе процедуры верификации и регламентации действий при обнаружении не соответствия предоставленной информации;
</w:t>
            </w:r>
            <w:r>
              <w:br/>
            </w:r>
            <w:r>
              <w:rPr>
                <w:rFonts w:ascii="Times New Roman"/>
                <w:b w:val="false"/>
                <w:i w:val="false"/>
                <w:color w:val="000000"/>
                <w:sz w:val="20"/>
              </w:rPr>
              <w:t>
процедуры ответственности лиц при передаче информации;
</w:t>
            </w:r>
            <w:r>
              <w:br/>
            </w:r>
            <w:r>
              <w:rPr>
                <w:rFonts w:ascii="Times New Roman"/>
                <w:b w:val="false"/>
                <w:i w:val="false"/>
                <w:color w:val="000000"/>
                <w:sz w:val="20"/>
              </w:rPr>
              <w:t>
процедуры проверки соответствия алгоритма расчетов пенсионных накоплений требованиям законодательства Республики Казахстан, в том числе расчет стоимости условной единицы, количества условной единицы.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не менее чем раз в полгода, проводит проверки подразделений в целях оценки соблюдения ими операционной техники проведения операций с ценными бумагами, достоверного и своевременного отражения в журналах учета операций с ценными бумагами.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правилами и руководствами, касающимися планирования, разработки и функционирования систем электронной обработки данных.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Работник Организации (Фонда), осуществляющий контроль системы электронной обработки данных и отвечающий за вопросы обработки данных, имеет квалификацию и опыт, соответствующие профилю работы.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Проверки проводятся службой внутреннего аудита в соответствии с утвержденными правлением планами проверок.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регулярно, по результатам проведенных проверок, сообщает о результатах правлению и совету директоров.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программно-техническими средствами позволяющими осуществлять своевременный перевод пенсионных накоплений в другие накопительные пенсионные фонды либо страховые организации.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информационного обеспечения располагает системой проверки уровня допуска при входе и выходе из автоматизированной системы.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утверждает процедуры и ответственность подразделения информационного обеспечения по контролю важных ключей, в том числе электронных к информационным базам данных.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Процедуры предусматривают обязательное наличие:
</w:t>
            </w:r>
            <w:r>
              <w:br/>
            </w:r>
            <w:r>
              <w:rPr>
                <w:rFonts w:ascii="Times New Roman"/>
                <w:b w:val="false"/>
                <w:i w:val="false"/>
                <w:color w:val="000000"/>
                <w:sz w:val="20"/>
              </w:rPr>
              <w:t>
сертифицированного программного обеспечения, изготовитель которого обеспечивает последующее техническое обслуживание оборудования;
</w:t>
            </w:r>
            <w:r>
              <w:br/>
            </w:r>
            <w:r>
              <w:rPr>
                <w:rFonts w:ascii="Times New Roman"/>
                <w:b w:val="false"/>
                <w:i w:val="false"/>
                <w:color w:val="000000"/>
                <w:sz w:val="20"/>
              </w:rPr>
              <w:t>
обособленных помещений для технических комплексов информационных баз данных, отвечающих требованиям  пожарной безопасности и сейсмоустойчивости;
</w:t>
            </w:r>
            <w:r>
              <w:br/>
            </w:r>
            <w:r>
              <w:rPr>
                <w:rFonts w:ascii="Times New Roman"/>
                <w:b w:val="false"/>
                <w:i w:val="false"/>
                <w:color w:val="000000"/>
                <w:sz w:val="20"/>
              </w:rPr>
              <w:t>
автономного электропитания;
</w:t>
            </w:r>
            <w:r>
              <w:br/>
            </w:r>
            <w:r>
              <w:rPr>
                <w:rFonts w:ascii="Times New Roman"/>
                <w:b w:val="false"/>
                <w:i w:val="false"/>
                <w:color w:val="000000"/>
                <w:sz w:val="20"/>
              </w:rPr>
              <w:t>
резервных компьютеров и сетевых коммуникаций.
</w:t>
            </w:r>
            <w:r>
              <w:br/>
            </w:r>
            <w:r>
              <w:rPr>
                <w:rFonts w:ascii="Times New Roman"/>
                <w:b w:val="false"/>
                <w:i w:val="false"/>
                <w:color w:val="000000"/>
                <w:sz w:val="20"/>
              </w:rPr>
              <w:t>
Организация (Фонд) регулярно формирует резервные копии системно-важных программных файлов и файлов данных.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Процедуры форс-мажорных обстоятельств предусматривают правила и руководства для компьютерного центра в случае чрезвычайного сбоя в работе системы.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Правила ведения журналов учета сделок, совершаемых с финансовыми инструментами за счет пенсионных активов, содержат:
</w:t>
            </w:r>
            <w:r>
              <w:br/>
            </w:r>
            <w:r>
              <w:rPr>
                <w:rFonts w:ascii="Times New Roman"/>
                <w:b w:val="false"/>
                <w:i w:val="false"/>
                <w:color w:val="000000"/>
                <w:sz w:val="20"/>
              </w:rPr>
              <w:t>
количество и наименование журналов учета сделок;
</w:t>
            </w:r>
            <w:r>
              <w:br/>
            </w:r>
            <w:r>
              <w:rPr>
                <w:rFonts w:ascii="Times New Roman"/>
                <w:b w:val="false"/>
                <w:i w:val="false"/>
                <w:color w:val="000000"/>
                <w:sz w:val="20"/>
              </w:rPr>
              <w:t>
порядок и периодичность заполнения журналов;
</w:t>
            </w:r>
            <w:r>
              <w:br/>
            </w:r>
            <w:r>
              <w:rPr>
                <w:rFonts w:ascii="Times New Roman"/>
                <w:b w:val="false"/>
                <w:i w:val="false"/>
                <w:color w:val="000000"/>
                <w:sz w:val="20"/>
              </w:rPr>
              <w:t>
перечень должностных лиц, осуществляющих контроль за совершением сделок с участием пенсионных активов.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Политика внутреннего контроля за обеспечением целостности данных и конфиденциальности информации должна содержать:
</w:t>
            </w:r>
            <w:r>
              <w:br/>
            </w:r>
            <w:r>
              <w:rPr>
                <w:rFonts w:ascii="Times New Roman"/>
                <w:b w:val="false"/>
                <w:i w:val="false"/>
                <w:color w:val="000000"/>
                <w:sz w:val="20"/>
              </w:rPr>
              <w:t>
перечень информации, относящейся к категории конфиденциальной;
</w:t>
            </w:r>
            <w:r>
              <w:br/>
            </w:r>
            <w:r>
              <w:rPr>
                <w:rFonts w:ascii="Times New Roman"/>
                <w:b w:val="false"/>
                <w:i w:val="false"/>
                <w:color w:val="000000"/>
                <w:sz w:val="20"/>
              </w:rPr>
              <w:t>
порядок составления, оформления, регистрации, учета и хранения документов, содержащих конфиденциальную информацию;
</w:t>
            </w:r>
            <w:r>
              <w:br/>
            </w:r>
            <w:r>
              <w:rPr>
                <w:rFonts w:ascii="Times New Roman"/>
                <w:b w:val="false"/>
                <w:i w:val="false"/>
                <w:color w:val="000000"/>
                <w:sz w:val="20"/>
              </w:rPr>
              <w:t>
порядок допуска к конфиденциальной информации, с указаниемдолжностей лиц, их занимающих, которые допускаются 
</w:t>
            </w:r>
            <w:r>
              <w:br/>
            </w:r>
            <w:r>
              <w:rPr>
                <w:rFonts w:ascii="Times New Roman"/>
                <w:b w:val="false"/>
                <w:i w:val="false"/>
                <w:color w:val="000000"/>
                <w:sz w:val="20"/>
              </w:rPr>
              <w:t>
к конфиденциальной информации.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Подразделением информационного обеспечения заполняются листы учета технических проблем, и ведется по ним отчетность.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информационного обеспечения отслеживает причины возникновения проблемы, извещает о них изготовителя информационной системы и принимает коррективные меры  для предотвращения их повторного возникновения.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информационного обеспечения регулярно анализирует характер таких проблем.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Процедуры предусматривают:
</w:t>
            </w:r>
            <w:r>
              <w:br/>
            </w:r>
            <w:r>
              <w:rPr>
                <w:rFonts w:ascii="Times New Roman"/>
                <w:b w:val="false"/>
                <w:i w:val="false"/>
                <w:color w:val="000000"/>
                <w:sz w:val="20"/>
              </w:rPr>
              <w:t>
перечень информационных данных, имеющих ограниченный доступ;
</w:t>
            </w:r>
            <w:r>
              <w:br/>
            </w:r>
            <w:r>
              <w:rPr>
                <w:rFonts w:ascii="Times New Roman"/>
                <w:b w:val="false"/>
                <w:i w:val="false"/>
                <w:color w:val="000000"/>
                <w:sz w:val="20"/>
              </w:rPr>
              <w:t>
порядок получения доступа;
</w:t>
            </w:r>
            <w:r>
              <w:br/>
            </w:r>
            <w:r>
              <w:rPr>
                <w:rFonts w:ascii="Times New Roman"/>
                <w:b w:val="false"/>
                <w:i w:val="false"/>
                <w:color w:val="000000"/>
                <w:sz w:val="20"/>
              </w:rPr>
              <w:t>
порядок контроля доступа к информационным данным;
</w:t>
            </w:r>
            <w:r>
              <w:br/>
            </w:r>
            <w:r>
              <w:rPr>
                <w:rFonts w:ascii="Times New Roman"/>
                <w:b w:val="false"/>
                <w:i w:val="false"/>
                <w:color w:val="000000"/>
                <w:sz w:val="20"/>
              </w:rPr>
              <w:t>
перечень лиц, имеющих доступ к информационным данным.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информационного обеспечения, не менее чем раз в квартал,  проводит проверки технических комплексов, обеспечивающих функционирование  автоматизированной базы данных.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информационного обеспечения раз в квартал предоставляет правлению информацию о состоянии технических комплексов.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информационного обеспечения осуществляет мониторинг и идентифицирует пользователей терминалов управления  автоматизированной базой данных, в том числе контролирует виды и объемы проведенных ими операций на предмет их соответствия функциональным обязанностям пользователя.
</w:t>
            </w:r>
          </w:p>
        </w:tc>
      </w:tr>
      <w:tr>
        <w:trPr>
          <w:trHeight w:val="9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системой, позволяющей идентифицировать личность пользователя.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осуществления деятельности             
</w:t>
      </w:r>
      <w:r>
        <w:br/>
      </w:r>
      <w:r>
        <w:rPr>
          <w:rFonts w:ascii="Times New Roman"/>
          <w:b w:val="false"/>
          <w:i w:val="false"/>
          <w:color w:val="000000"/>
          <w:sz w:val="28"/>
        </w:rPr>
        <w:t>
                                по инвестиционному управлению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i w:val="false"/>
          <w:color w:val="000000"/>
          <w:sz w:val="28"/>
        </w:rPr>
        <w:t>
Дополнительные критерии требований Инструкции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197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системы управления рисками и внутреннего контроля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Советом директоров утверждена стратегия деятельности Организации (Фонда).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корпоративной стратегии Организации (Фонда) определены краткосрочные (менее одного года) и долгосрочные (от двух до десяти лет) цели деятельности Организации (Фонда).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Долгосрочная стратегия Организации (Фонда) составлена и постоянно совершенствуется с целью исключения факторов, ранее негативно отразившихся на деятельности Организации (Фонда).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проводит мониторинг операций Организации (Фонда), связанных с рисками (кредитный риск, процентный риск, риск потери ликвидности, валютный риск), с целью исключения возможности совершения операций, противоречащих стратегии, политикам и процедурам.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Организации (Фонда), осуществляющее функции управления рисками, использует методику оценки влияния на пенсионные активы, доходность и ликвидность в случае отрицательной динамики внешнего и внутреннего рынка финансовых активов.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идентифицирует и анализирует внутренние и внешние экономические факторы, представляющие потенциальный и возможный риск, оценивает степень их влияния на финансовые показатели Организации (Фонда).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части совокупных лимитов, утвержденных советом директоров, правление определяет лимиты на допустимый размер рисков в отдельности по видам проводимых операций, принимает эффективные меры контроля соблюдения Организацией (Фондом) указанных лимитов.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контролирует соблюдение совокупных лимитов по видам рисков на основе их ежемесячного расчета.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контролирует соблюдение подразделениями Организации (Фонда) политик в управлении возможными и потенциальными рисками, осуществляет мониторинг соблюдения подразделениями Организации (Фонда) размеров рисков в пределах установленных для них лимитов.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применяет политику распределения рисков по видам проводимых им операций, то есть формирования структуры и объема проводимых операций с финансовыми операциями с учетом связанного с ними риска в целях сохранения необходимого уровня достаточности собственного капитала и платежеспособности, и контролирует их выполнение ответственными подразделениями Организации (Фонда).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располагает организационно-функциональной и операционной структурой, которая обеспечивает реализацию политики диверсификации, а также позволяет осуществлять мониторинг соблюдения норм диверсификации, установленным уполномоченным органом.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Форматы информации о текущем финансовом состоянии Организации (Фонда) и принятых ею рисков стандартизованы в виде определенных форм управленческой отчетности, которые в том числе идентифицируют и измеряют кредитный, процентный риски, риск потери ликвидности, валютный, страновой (трансфертный) риски, а также определяют степень подверженности рискам, сохранение их в пределах установленных лимитов.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Подразделения проводят оценку (начисление) ожидаемых доходов Организации (Фонда) с учетом принимаемого риска.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операций с финансовыми инструментами.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политики управления операциями по купле/продаже финансовых инструментов регламентируют: 
</w:t>
            </w:r>
          </w:p>
          <w:p>
            <w:pPr>
              <w:spacing w:after="20"/>
              <w:ind w:left="20"/>
              <w:jc w:val="both"/>
            </w:pPr>
            <w:r>
              <w:rPr>
                <w:rFonts w:ascii="Times New Roman"/>
                <w:b w:val="false"/>
                <w:i w:val="false"/>
                <w:color w:val="000000"/>
                <w:sz w:val="20"/>
              </w:rPr>
              <w:t>
определение риска потери ликвидности, связанного со структурой активов (обязательств) Организации (Фонда);
</w:t>
            </w:r>
          </w:p>
          <w:p>
            <w:pPr>
              <w:spacing w:after="20"/>
              <w:ind w:left="20"/>
              <w:jc w:val="both"/>
            </w:pPr>
            <w:r>
              <w:rPr>
                <w:rFonts w:ascii="Times New Roman"/>
                <w:b w:val="false"/>
                <w:i w:val="false"/>
                <w:color w:val="000000"/>
                <w:sz w:val="20"/>
              </w:rPr>
              <w:t>
определение процентного риска, связанного со структурой активов (обязательств) Организации (Фонда);
</w:t>
            </w:r>
          </w:p>
          <w:p>
            <w:pPr>
              <w:spacing w:after="20"/>
              <w:ind w:left="20"/>
              <w:jc w:val="both"/>
            </w:pPr>
            <w:r>
              <w:rPr>
                <w:rFonts w:ascii="Times New Roman"/>
                <w:b w:val="false"/>
                <w:i w:val="false"/>
                <w:color w:val="000000"/>
                <w:sz w:val="20"/>
              </w:rPr>
              <w:t>
определение валютного риска, связанного со структурой активов (обязательств) Организации (Фонда);
</w:t>
            </w:r>
          </w:p>
          <w:p>
            <w:pPr>
              <w:spacing w:after="20"/>
              <w:ind w:left="20"/>
              <w:jc w:val="both"/>
            </w:pPr>
            <w:r>
              <w:rPr>
                <w:rFonts w:ascii="Times New Roman"/>
                <w:b w:val="false"/>
                <w:i w:val="false"/>
                <w:color w:val="000000"/>
                <w:sz w:val="20"/>
              </w:rPr>
              <w:t>
определение рисков, присущих операциям с производными финансовыми инструментами;
</w:t>
            </w:r>
          </w:p>
          <w:p>
            <w:pPr>
              <w:spacing w:after="20"/>
              <w:ind w:left="20"/>
              <w:jc w:val="both"/>
            </w:pPr>
            <w:r>
              <w:rPr>
                <w:rFonts w:ascii="Times New Roman"/>
                <w:b w:val="false"/>
                <w:i w:val="false"/>
                <w:color w:val="000000"/>
                <w:sz w:val="20"/>
              </w:rPr>
              <w:t>
модели, используемые при измерении рыночного риска Организации (Фонда);
</w:t>
            </w:r>
          </w:p>
          <w:p>
            <w:pPr>
              <w:spacing w:after="20"/>
              <w:ind w:left="20"/>
              <w:jc w:val="both"/>
            </w:pPr>
            <w:r>
              <w:rPr>
                <w:rFonts w:ascii="Times New Roman"/>
                <w:b w:val="false"/>
                <w:i w:val="false"/>
                <w:color w:val="000000"/>
                <w:sz w:val="20"/>
              </w:rPr>
              <w:t>
периодичность представления подразделением управления рисками совету директоров и правлению отчета о позициях Организации (Фонда) по рыночному риску.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ведет обработку торговых операций отдельно от других рыночных операций.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отслеживает доходы/расходы и риски по активам и обязательствам, подверженным ценовому риску и проводит ежедневную оценку их стоимости.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случае отсутствия рыночной стоимости финансового инструмента Организация (Фонд) проводит тест на обесценение данного финансового инструмента в соответствии с международными стандартами финансовой отчетности.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регулярно в течение каждого операционного дня проводит оценку доходов/расходов от операций с финансовыми инструментами.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Советом директоров Организации (Фонда) утверждены процедуры определения стоимости финансового инструмента с учетом ценового риска.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проводит оценку стоимости финансовых инструментов на основе модели оценки риска и приведения текущих цен к рыночным, в том числе осуществляет стресс-тестинг (stress-testing) и бэк-тестинг (back-testing).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использует результаты оценки риска и регулярных стресс-тестинг при принятии решений на совершение операций с финансовыми инструментами.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Правление устанавливает диапазон лимитов "stop-loss" для финансовых инструментов.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внутреннего аудита проверяет правильность применения Организацией (Фондом) правил определения лимитов "stop-loss".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рисками проводит анализ адекватности лимитов по финансовым инструментам в соответствии с масштабом и динамикой рынка финансовых инструментов и ликвидностью финансового инструмента.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утверждает политику принятия решений по валютным позициям в соответствии с анализом изменения валютных курсов.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управления рисками осуществляет:
</w:t>
            </w:r>
            <w:r>
              <w:br/>
            </w:r>
            <w:r>
              <w:rPr>
                <w:rFonts w:ascii="Times New Roman"/>
                <w:b w:val="false"/>
                <w:i w:val="false"/>
                <w:color w:val="000000"/>
                <w:sz w:val="20"/>
              </w:rPr>
              <w:t>
комплексное управление рисками с использованием различных аналитических методик;
</w:t>
            </w:r>
            <w:r>
              <w:br/>
            </w:r>
            <w:r>
              <w:rPr>
                <w:rFonts w:ascii="Times New Roman"/>
                <w:b w:val="false"/>
                <w:i w:val="false"/>
                <w:color w:val="000000"/>
                <w:sz w:val="20"/>
              </w:rPr>
              <w:t>
оценку чувствительности к риску, а также регулярно проводит гэп-анализ;
</w:t>
            </w:r>
            <w:r>
              <w:br/>
            </w:r>
            <w:r>
              <w:rPr>
                <w:rFonts w:ascii="Times New Roman"/>
                <w:b w:val="false"/>
                <w:i w:val="false"/>
                <w:color w:val="000000"/>
                <w:sz w:val="20"/>
              </w:rPr>
              <w:t>
стресс-тестинг, результаты которого используются в плане оперативных действий, при нарастании негативных факторов на рынке;
</w:t>
            </w:r>
            <w:r>
              <w:br/>
            </w:r>
            <w:r>
              <w:rPr>
                <w:rFonts w:ascii="Times New Roman"/>
                <w:b w:val="false"/>
                <w:i w:val="false"/>
                <w:color w:val="000000"/>
                <w:sz w:val="20"/>
              </w:rPr>
              <w:t>
процедуры хеджирования процентного риска в том числе, с помощью производных финансовых инструментов или других рыночных операций;
</w:t>
            </w:r>
            <w:r>
              <w:br/>
            </w:r>
            <w:r>
              <w:rPr>
                <w:rFonts w:ascii="Times New Roman"/>
                <w:b w:val="false"/>
                <w:i w:val="false"/>
                <w:color w:val="000000"/>
                <w:sz w:val="20"/>
              </w:rPr>
              <w:t>
устанавливает лимиты по гэп и размеру процентного риска с учетом адекватности собственного капитала по рискам.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Подразделение по управлению рисками не менее чем раз в полгода проводит стресс-тестинг и использует его результаты в плане оперативных действий при нарастании негативных факторов на рынке.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Организация (Фонд) использует процедуры своевременного хеджирования валютного риска с помощью производных финансовых инструментов в соответствии с политикой управления активами и обязательствами.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Совет директоров устанавливает лимиты по открытым валютным позициям и лимит валютной нетто-позиции.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