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1c3c" w14:textId="1481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условиям работ с микроорганизмами I-IV групп патогенности"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июля 2005 года № 325. Зарегистрирован в Министерстве юстиции Республики Казахстан 3 августа 2005 года № 3770.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подпунктом 10)  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санитарно-эпидемиологические правила и нормы "Санитарно-эпидемиологические требования к условиям работ с микроорганизмами I-IV групп патогенности"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организационно-правовой работы Министерства здравоохранения Республики Казахстан (Акрачкова Д.В.) после государственной регистрации настоящего приказа в Министерстве юстиции Республики Казахстан обеспечить его официальное опубликование.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его официального опубликования. 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2005 года N 325         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условиям работ с микроорганизмами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I-IV групп патогенности" 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Настоящие санитарно-эпидемиологические правила и нормы (далее - санитарные правила) регламентируют проведение специальных мер профилактики особо опасных и карантинных инфекций, представляющих опасность для окружающих и устанавливают единые санитарно-эпидемиологические требования к условиям хранения, учета, передачи и транспортировки патогенных биологических агентов (далее - ПБА).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 целях определения степени режима работы, порядка хранения и выдачи возбудителей, осуществления санитарно-противоэпидемических (профилактических) мероприятий в зависимости от уровня опасности заражения для лиц, работающих с ними, а также для окружающих людей и животных, микроорганизмы I-IV группы патогенности и их токсины делятся на группы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В целях обеспечения санитарно-эпидемиологического благополучия и биологической безопасности населения настоящие санитарные правила обязательны для выполнения юридическими лицами, работающими с возбудителями I-IV группы патогенности на территории Республики Казахстан.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Работа с культурами возбудителей, отнесенных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возбудителям I группы патогенности должна проводиться в Республиканском государственном казенном предприятии "Казахский научный центр карантинных и зоонозных инфекций им. М. Айкимбаева" и в противочумных учреждениях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возбудителям II группы патогенности должна проводиться в лабораториях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возбудителям III-IV групп - в лабораториях организаций независимо от форм собственности, имеющих разрешение Центральной режимной комиссии согласно санитарно-эпидемиологическим правилам и нормам "Санитарно-эпидемиологические требования к устройству и условиям работы микробиологических, вирусологических и паразитологических лабораторий, утвержденных приказом Министра здравоохранения Республики Казахстан от 21 января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63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Республики Казахстан - за N 2692 (далее - СанПиН).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 организациям, работающим с возбудителями I-IV групп патогенности относятся следующие коллекции микроорганизмов: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республиканская коллекция;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республиканский депозитарий;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музей живых культур (далее - МЖК);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научные коллекции институтов,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производственные коллекции институтов, центров, биокомбинатов;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коллекции диагностических 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Республиканские коллекции должны осуществлять организационное и научно-информационное обеспечение исследуемых направлений, централизованный учет, депонирование и патентование ПБА.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Республиканские депозитарии должны осуществлять хранение ПБА, изолированных из различных объектов в пределах Казахстана и зарубежных стран, тест-штаммов ПБА для стандартизации и контроля иммунобиологических препаратов и питательных сред, производственных штаммов, депонированных и запатентованных штаммов, референтных штаммов, авторских коллекций, генетически измененных микроорганизмов, ПБА, полученных для идентификации.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МЖК должен создаваться в институтах (научных центрах), и в противочумных станциях, имеющих разрешение на работу с возбудителями I-IV групп в зависимости от назначения таксономической групповой принадлежности возбудителей как структурные подразделения организаций приказом министерства (ведомства) на основании ходатайства руководителя организации, согласования с центральной режимной комиссией и республиканской (по направлению) коллекцией.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Организационно-штатная структура МЖК определяется руководителем организации в соответствии с задачами и объемом выполняемой МЖК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Организационно-методическое руководство и контроль за МЖК осуществляется республиканскими коллекциями по исследуемому направлению согласно постановлению Правительства Республики Казахстан от 30 июля 2002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850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Республиканской коллекции микроорганизмов".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11. В МЖК должны храниться: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тест-штаммы для контроля питательных сред;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набор типовых штаммов ПБА, в том числе рабочие коллекции (авторские), перечень которых и аспекты использования которых, определяется Республиканской коллекцией (по исследуемому направлению) и ежегодно (до 10 января текущего года), утверждается Главным государственным санитарным врачом Республики Казахстан на основании заключения Центральной режимной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ПБА, выделяемые в процессе текущей работы диагностических центров и лабораторий, подлежащие первичной идентификации и пересылки в соответствующие Республиканские коллекции в порядке, установленном СанПиНом. Оставшиеся субкультуры подлежат уничтожению.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Научные коллекции должны создаваться на базе институтов (центров) в соответствии с их функциональным назначением приказом руководителя организации. Руководителем организации должен быть назначен ответственный за правильную работу с коллекционными ПБА.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13. В научных коллекциях должны храниться: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рабочие коллекции штаммов ПБА отдельных подразделений организаций, лабораторий, авторов;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референтные штаммы;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тест-штаммы.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Список допустимых к хранению ПБА в научных коллекциях институтов (центров) ежегодно (до 10 января текущего года) согласовывается с республиканской (по направлению) коллекцией и утверждается Главным государственным санитарным врачом Республики Казахстан на основании заключения Центральной режимной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Производственные коллекции создаются на базе производственных (производственно-научных) центров, биокомбинатов.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16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производственных коллекциях хранятся: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производственные штаммы;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контрольные штаммы.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Подразделения организации, осуществляющие контроль готовой продукции, должны иметь ограниченную коллекцию типовых штаммов микроорганизмов, необходимых для контроля продукта. Набор типовых контрольных штаммов изменяется в зависимости от определяемых параметров.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Коллекции диагностических лабораторий должны создаваться на базе диагностических лабораторий.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19. В диагностических лабораториях должны храниться наборы штаммов: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для контроля питательных сред;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изолированных ПБА для первичной идентификации и пересылки в вышестоящие коллекции диагностических лабораторий и музеи живых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Заведующий лаборатории должен быть ответственным за хранение коллекции диагностических лабораторий.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Штаммы, используемые для диагностических целей, а также вакцинные и производственные должны учитываться как коллекционные.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Производственные, эталонные штаммы ПБА I-IV групп получают только в республиканских коллекциях, тест-штаммы - в республиканских коллекциях и МЖК по разрешению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Культуры, полученные из республиканских коллекций или МЖК, не передаются в другие организации. Штаммы уничтожаются после окончания научных исследований либо хранятся согласно СанПиНу.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24. Производственный контроль движения ПБА, соблюдением выполнения требований СанПиНа должен осуществляться режимными комиссиями организаций не реже одного раза в год, при необходимости - по эпидемиологическим показаниям (согласно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правилам). 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учету ПБА 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25. Контроль движения и хранения ПБА осуществляется в соответствии с СанПиНом.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Диагностические лаборатории должны информировать о выделении всех ПБА I-IV групп вышестоящие органы и в течение 3 дней направлять их в порядке установленном СанПиНом в соответствующие лаборатории и МЖК, которые затем передают их в соответствующие профилю республиканские коллекции с оформлением паспортов по утвержденной форме и с соблюдением мер противоэпидемического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27. В подразделениях, проводящих экспериментальные работы с ПБА I-IV групп, должен вестись учет по формам, приведенным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>к СанПиН и приложениях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28. Варианты ПБА, полученные в ходе выполнения научно-исследовательских работ и представляющие научный интерес должны учитываться согласно приложению 4 к настоящим санитарным правилам и храниться в научных коллекциях. Присвоение коллекционному штамму обозначение (номер, код) должно проводиться согласно пункту </w:t>
      </w:r>
      <w:r>
        <w:rPr>
          <w:rFonts w:ascii="Times New Roman"/>
          <w:b w:val="false"/>
          <w:i w:val="false"/>
          <w:color w:val="000000"/>
          <w:sz w:val="28"/>
        </w:rPr>
        <w:t xml:space="preserve">112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СанПиНа. По такому же принципу должен происходить учет бактерийных токсинов и ядов животного происхождения.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29. Штаммы, представляющие интерес для исследователя, должны храниться в республиканских коллекциях (депозитариях) как охраноспособные (объект патентования) или авторские (объект депонирования). Им должен присваиваться кодовый шифр и порядковый номер по инвентарному журналу (приложение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30. Для информации о микроорганизмах, хранящихся в музее, должен составляться развернутый паспорт с описанием биохимических, серологических и других свойств штамма (приложение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31. Все журналы по учету ПБА I-IV групп должны быть оформлены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114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115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СанПиНа и храниться у лица, ответственного за их ведение. Уничтожение штаммов документируется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32. Централизованный учет ПБА в диагностических лабораториях должен осуществляться по следующей схеме: заведующий лабораторией (лабораториями) ежеквартально (до 25 числа конца квартала) подает сведения руководителю учреждения о наличии и движении ПБА по формам,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 с последующим составлением сводного отчета и для вышестоящего органа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33. Централизованный учет ПБА в республиканских коллекциях (депозитариях), МЖК, научных и производственных центрах должен осуществляться ежеквартально (до 5 числа каждого месяца) по формам (приложение 7, 8 к настоящим санитарным правилам) с составлением годового отчета по следующей схеме: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ежеквартально (до 1 числа каждого нового квартала) ответственный за хранение коллекции (рабочая, коллекция лабораторий и отделов) должен подать сведения заведующему (ответственному лицу) коллекцией или МЖК и в режимную комиссию института (центра) о наличии ПБА по формам, указанным в приложениях 7, 8 к настоящим санитарным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заведующий (ответственный) коллекцией (МЖК) должен составить сводный отчет о коллекции института (центра) и подает сведения руководителю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коллекции диагностических лабораторий должны отчитываться перед вышестоящим органом, который формирует сводный отчет и предоставляет его в соответствующую по профилю республиканскую коллекцию;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республиканские депозитарии, МЖК, производственные и научные коллекции должны отчитываться перед соответствующей профилю республиканской коллекцией;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республиканские коллекции должны предоставлять сводные отчеты в соответствующие профилю министерства (ведомства) и Главному государственному санитарному врачу Республики Казахстан. 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Хранение, передача и транспортировка ПБА 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34. Емкости, содержащие ПБА и токсины, должны оформляться и храниться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119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СанПиНа.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Животные, зараженные бактериями, риккетсиями, вирусами, грибками, простейшими, должны содержаться отдельно (в стеклянных банках, клетках) в запираемых помещениях.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Холодильники, шкафы и термостаты с культурами I-IV групп должны запираться, а по окончании рабочего дня пломбироваться или опечатываться. Ключи от замков, пломбиры и печати должны храниться у заведующего лабораторией. В лабораториях, где проводят работы и хранят культуры I-II групп, входные двери должны запираться на замок и пломбироваться или опечатываться; ключи сдаются дежурному по организации под расписку.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При пересеве культур должны соблюдаться правила СанПиНа.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38. Отпуск (передача) штаммов I-IV групп внутри организации производится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120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СанПиНа.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39. Выдача возбудителей должна оформляться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121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СанПиНа и записью в журнале для специализированных коллекций.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40. В случае временного отсутствия сотрудника (отпуск, командировка, болезнь) ответственным за хранение возбудителей I-II и коллекционных штаммов III-IV групп с разрешения руководителя организации (подразделения) является лицо, которому культуры передаются по акту с правом или без права пересева и регистрацией в журнале (приложение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41. Передача и транспортировка ПБА за пределы организации внутри страны должна производиться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122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131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СанПиНа.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Передача (получение) и транспортировка ПБА в зарубежные страны должна производиться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132 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 xml:space="preserve">137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СанПиНа. 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контроля 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43. Для проведения производственного контроля руководители учреждений должны создавать на постоянной или временной основе режимные комиссии, состоящие из специалистов учреждений, имеющих опыт работы с ПБА I-II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44. В организациях (или учреждениях), выполняющих работы с ПБА I-IV групп, постоянный производственный контроль за соблюдением настоящей инструкции осуществляет режимная комиссия с обязательной проверкой их выполнения не реже одного раза в год, при необходимости - по эпидемиологическим показаниям.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работ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микроорганизмами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I-IV групп патогенности"          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микроорганизмов патогенных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человека по группам патогенности </w:t>
      </w:r>
    </w:p>
    <w:bookmarkStart w:name="z2"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9"/>
        <w:gridCol w:w="4828"/>
        <w:gridCol w:w="5463"/>
      </w:tblGrid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микроорганизмов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Заболевание, вызываемое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 микроорганизмом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Бактерии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Yersinia pestis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Чума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II группа                      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Bacillus anthracis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Сибирская язва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Brucella abortus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Brucella melitensis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Brucella suis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Бруцеллез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Francisella tularensis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Туляремия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Legionella pneumophila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Легионеллез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Pseudomonas mallei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Pseudomonas pseudomallei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Мелиоидоз </w:t>
            </w:r>
          </w:p>
        </w:tc>
      </w:tr>
      <w:tr>
        <w:trPr>
          <w:trHeight w:val="132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Vibrio cholerae 01 токсигенный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Vibrio cholerae non 01 токсигенный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III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Bordetella pertussis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Коклюш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Borrelia recurrentia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Возвратный тиф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Campylobacter fetus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Абсцессы, септицемии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Campylobacter jejuni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Энтерит, холецистит, септицемия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Clostridium botulinum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Ботулизм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Clostridium tetani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Столбняк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Corynebacterium diphtheriae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Дифтерия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Eryaipelothrix rhusiopathiae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Эризипелоид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Helicobacter pylori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Гастрит, язвенная болезнь желудка и двенадцатиперстной кишки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Leptospira interrogans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Лептоспироз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Listeria monocytogenes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Листериоз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Mycobacterium leprae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Проказа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Mycobacterium tuberculosis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Mycobacterium bovis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Mycobacterium avium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Neisseria gonorrhoeae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Гонорея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Neisseria meningitidis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Менингит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Nocardia asteroids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Нокардиоз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Pasterella multocida,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haemolytica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Пастереллез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Proactinomyces israelii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Актиномикоз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Salmonella paratyphi A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Паратиф 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Salmonella paratyphi B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Паратиф В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Salmonella typhi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Брюшной тиф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Shigella spp.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Дизентерия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Treponema pallidum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Сифилис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Yersinia pseudotuberculosis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Псевдотуберкулез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Vibrio cholerae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не токсигенный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Диарея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Vibrio cholerae non 01 не токсигенный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Диарея, раневые инфекции, септицемия и прочее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IV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Aerobacter aerogenes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Энтерит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Bacillus cereus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Пищевая токсикоинфекция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Bacteroides spp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Абсцесс легких, бактериемия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Borrelia spp.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Клещевой спирохетоз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Bordetella bronchiseptica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Bordetella parapertussis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Бронхосептикоз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Паракоклюш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Campylobacter spp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Гастроэнтерит, гингивит, периодонтит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Citrobacter spp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воспалительные процессы, пищевые токсикоинфекции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CIostridium perfringens, CIostridium novyi,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CIostridium septicum,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CIostridium hiatolyticum, CIostridium bifermentans.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Газовая гангрена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Escherichia coli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Энтерит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Eubacterium endocarditidis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Септический эндокардит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Eubacterium lentum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Eubacterium ventricosum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Вторичные септицемии,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абсцессы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Flavobacterium meningosepticum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Менингит, септицемия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Haemophilus influenza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Менингит, пневмония, ларингит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Hafnia alvei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Холецистит, цистит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Klebsiella ozaenae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Озена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Klebsiella pneumoniae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Klebsiella rhinoscleromatis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Риносклерома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Mycobacterium spp.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Mycobacterium рhotochromogens Mycobacterium scotochromogens Mycobacterium nonphotochromogens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Mycobacterium rapid growers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Микобактериозы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Micoplasma hominis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Micoplasma hominis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Micoplasma pneumoniae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воспалительные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процессы, пневмонии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Propionibacterium avidum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Сепсис, абсцессы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Proteus spp.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Пищевая токсикоинфекция, сепсис, местные воспалительные процессы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Pseudomonas aeruginosa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Сепсис, местные воспалительные процессы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Salmonella spp.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Сальмонеллез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Serratia marcescens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Сепсис, местные воспалительные процессы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Staphylococcus spp.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Пищевая токсикоинфекция, септицемия, пневмония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Streptococcus spp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Пневмония, тонзиллит, полиартрит, септицемия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Vibrio sрр.,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Vibrio parahaemolyticus,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Vibrio mimicus,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Vibrio fluviales,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Vibrio vulnificus,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Vibrio alginolyticus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Диарея, пищевая токсикоинфекция, раневая инфекция, септицемия и прочее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Yersinia enterocolitica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Энтерит, колит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Actinomyces albus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Актиномикоз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Риккетсии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II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Rickettsia prowazekii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Эпидемический сыпной тиф, болезнь Брилля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Rickettsia typhi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Крысиный сыпной тиф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Rickettsia rickettsii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Пятнистая лихорадка Скалистых гор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Rickettsia tsutsugamushi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Лихорадка цуцугамуши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Coxiella burnetii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Коксиеллез (лихорадка Ку)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III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Rickettsia sibirica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Клещевой сыпной тиф Северной Азии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Rickettsia conorii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Средиземноморская пятнистая лихорадка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Rickettsia sharoni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Израильская лихорадка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Rickettsia sp. Now?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Астраханская лихорадка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Rickettsia acari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Везикулезный риккетсиоз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Rickettsia australis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Клещевой сыпной тиф Северного Квинсленда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Rickettsia japonica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Японская пятнистая лихорадка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Rickettsia sp. Now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Африканская лихорадка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Rickettsia sp. Now штамм "ТТТ"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Клещевой риккетсиоз Тайланда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Эрлихии (подсемейство Ehrlichiae, сем. Rickettsiaceae)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III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Ehrlichia sennetsu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Сеннетсу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Ehrlichia canis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отсутствует </w:t>
            </w:r>
          </w:p>
        </w:tc>
      </w:tr>
      <w:tr>
        <w:trPr>
          <w:trHeight w:val="48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Ehrlichia chaffeensis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отсутствует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Грибы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II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Blastomyces brasiliensis, dermatitidis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Бластомикоз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Coccidioides immitis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Кокцидиоидоз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Histoplasma capsulatum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Гистоплазмоз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III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Aspergillus flavus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Aspergillus fumigatus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Аспергиллез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Candida albicans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Cryptococcus neoformans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Криптококкоз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IV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Absidia corymbifera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Мукороз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Aspergillus niger,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Aspergillus nidulans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Аспергиллез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Candida brumptii, Candida crusei, Candida intermedia, Candida pseudotropicalis, Candida tropicalis, Candida guillermondii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Cephalosporium acremonium, Cephalosporium cinnabarium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Цефалоспориоз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Epidermophyton floccosum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Эпидермофитии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Geotrichum candidum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Геотрихоз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Microsporum spp.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Микроспория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Mucor musedo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Мукороз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Penicillium crustosum, Penicillium luteo-viride, Penicillium notatum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Пенициллиоз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Pityrosporum orbiculare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Разноцветный лишай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Rhizopus nigricans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Мукороз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Trichophyton spp.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Черепитчатый мукоз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Trichosporon cerebriforme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Узловатая трихоспория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Простейшие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III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Leishmania donovani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Висцеральный лейшманиоз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Plasmodium vivax,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Plasmodium falciparum,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Plasmodium malariae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Малярия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Trichomonas vaginalis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Мочеполовой трихомониаз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IV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Acanthamoeba culbertsoni, spp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Менингоэнцефалит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Babesia caucasica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Бабезиоз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Balantidium coli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Балантидиоз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Entamoeba hystolytica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Амебиаз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Isospora belli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Lamblia intestinalis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Энтерит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Naegleria spp.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Менингоэнцефалит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Pent, atrichomonas hominis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Leishmania major, tropica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Кожный лейшманиоз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Toxoplasma gondii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Токсоплазмоз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Вирусы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I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Filoviridae: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Марбург и Эбола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Геморрагические лихорадки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Arenaviridae: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Ласса, Хунин и Мачупо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Геморрагические лихорадки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Poxviridae: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натуральной оспы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Натуральная оспа человека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Herpesviridae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обезьяний вирус В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Хронические энцефалиты, энцефалопатии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II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Togaviridae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лошадинных энцефаломиелитов (Венесуэльский ВНЭЛ, восточный ВЭЛ,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ЗЭЛ);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лихорадок Семлики, Чикунгунья, О'Ньонг-Ньонг, Карельской, Синдбис, реки Росс, Майяро, Мукамбо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Kомариныe энцефалиты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энцефаломиелиты,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энцефаломенингиты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лихорадочные заболевания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Flaviviridae: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комплекса клещевого энцефалита: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клещевого энцефалита (КЭ)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Алма-Арасан, Апон, Лангат, Негиши, Повассан, Шотландкого энцефаломиелита овец,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леса Киассанур,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Омской геморрагической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лихорадки (ОГЛ)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комплекса японского энцефалита (ЯЭ), Западного Нила, Ильеус, Росио, Сент-Луис, энцефалит Усуту, энцефалит долины Муррея Карши, Кунжин, Сепик, Вессельсборн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желтой лихорадки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Вирус гепатита С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Энцефалиты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энцефаломиелиты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Геморрагические лихорадки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Лихорадочные заболевания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Лихорадочные заболевания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Геморрагическая лихорадка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Парентерального гепатита, гепатоцелюлярной карциномы печени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Bunyaviridae,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Bunyavirus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Калифорний-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энцефалита, 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Кросс, Джеймстаун-каньон, Зайцев-Беляков, Инко, Тягиня, Комплекс С-вирусы Апеу, Мадрид, Орибона, Осса,Рестан и др.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 Phlebovirus: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вирусы москитных лихорадок Сицилии, Неаполя, Рифт-валли,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Тоскана и др.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 Nairovirus: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Крымской геморрагической лихорадки Конго;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овец Найроби, Ганджам;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Дугбе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 Hantavirus: вирусы Хантаан, Сеул, Пуумала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Энцефалит, энцефаломиелит, менингоэнцефалит,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лихорадочные заболевания с менингеальным синдромом и артритом.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Лихорадочные заболевания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Миозиты и артриты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Энцефалиты и лихорадочные заболевания с артритами и миозитами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Геморрагические лихорадки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Лихорадки с менингеальным синдромом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Энцефалит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Геморрагические лихорадки с почечным синдромом (ГЛПС)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Reoviridae,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Orbilvirus: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Кемерово,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Колорадской клещевой лихорадки, Синего языка овец,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Чангвинола, Орунго и др.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Лихорадки с менингеальным синдромом и артритами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Rhabdoviridae,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Lyssavirus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уличного бешенства,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Лагос-бат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Бешенство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Псевдобешенство и энцефалопатии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Pico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rn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aviridae,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Aphtovirus: вирус Ящура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Ящур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Arenaviridae: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лимфоцитарного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хориоменингита, Токарибе, Пичинде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Астенические менингиты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менингоэнцефалиты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Hepadnaviridae: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гепатитов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 Д (Дельта)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Парентеральные гепатиты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Retroviridae: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иммунодефицита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(ВИЧ-1,ВИЧ-2)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Т-клеточного лейкоза 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(НТLV)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- клеточный лейкоз человека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Unconventional agents: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Возбудители болезни медленных нейроинфекций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Крейцфельд-Якоба, Куру, Скрепи, амиотрофического лейкоспонгиоза, оливопонтоцеребральная атрофия, синдромы Герстманна-Страусслера- Шейнкера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III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Orthomyxoviridae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гриппа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В и С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Грипп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Picornaviridae: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Enterovirus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полиомиелита дикие штаммы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гепатита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и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острого геморрагического конъюнктивита (АНС)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Полиомиелита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Энтеральный гепатит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Геморрагический коньюктивит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Herpesviridae: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простого герпеса I и II типов,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герпесвирус зостор-ветрянки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герпеса 6 типа (HBLV-HHV6)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цитомегалии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Эпштейн-Барра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Герпес простой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Ветряная оспа, опоясывающий герпетический лишай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В-лимфоцитов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человека, родовая экзантема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Цитомегалия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Инфекционный мононуклеоз, лимфома Беркита, назофарингеальная карцинома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IV-группа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Adenoviridae: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аденовирусы всех типов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ОРВИ, пневмонии,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конъюнктивиты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Reoviridae,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 Reovirus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ретровирусы 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 Rotavirus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ротавирусы человека, вирус диареи телят Небраски (NCDV)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риниты, гастроэнтериты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гастроэнтериты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 энтериты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Picomaviridae,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Enterovirus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Коксаки группы А 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вирусы ECHO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энтеровирусы-типы 68-71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 Rinovirus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риновирусы человека 120 типов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 Cardiovirus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вирус энцефаломиокардита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вирус Менго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ОРВИ, болезни Борнхольма, герпангин, полиневриты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серозные менингиты, диареи, ОРВИ, полиневриты, увеиты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серозные менингиты,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коньюнктивиты.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ОРВИ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ОРВИ, полиневрит, герпангины, коньюктивиты, миокардиты,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фаломиокардиты, перикардиты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ОРВИ, полиневрит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Coronaviridae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коронавирусы человека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ОРВИ (профузный насморк без температуры), энтерит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Caliciviridae: вирус Норфолк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гастроэнтерит </w:t>
            </w:r>
          </w:p>
        </w:tc>
      </w:tr>
      <w:tr>
        <w:trPr>
          <w:trHeight w:val="2325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Paramyxoviridae: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вирусы парагриппа человека 1-4 типа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респираторно-синцитиальный вирус (PC-вирус),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эпидемического пароатита,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кори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Ньюкаслской болезни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ОРВИ, бронхопневмонии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Пневмонии, бронхиты, бронхиолиты,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Эпидемический паротит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Коньюктивит </w:t>
            </w:r>
          </w:p>
        </w:tc>
      </w:tr>
      <w:tr>
        <w:trPr>
          <w:trHeight w:val="90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Togaviridae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Rubivirua: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краснухи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Краснуха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Rabdoviridae,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Vesiculovirus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везикулярного стоматита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Везикулярный стоматит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Poxviridae: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оспы коров, вирус эктромелии,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узелков доильщиц,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орфвирус вирус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контагиозного моллюска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вирусы Тана и Яба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 коров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Эктромелия мышей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Хроническая болезнь рук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доильщиц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Контагиозный пустулярный дерматит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Контагиозный молюск кожи и слизистых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Яба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Хламидии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II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Chlamydia psittaci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Орнитоз-пситтакоз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III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Chlamydia trachomatis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Трахома, урогенитальный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хламидиоз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Chlamydia paratrachomatis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Трахомоподобный коньюктивит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Chlamydia veneral lymphagranulema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Венерическая лимфогранулема, поражение паховых лимфатических узлов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Яды биологического происхождения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II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Ботулинические токсины всех видов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Ботулизм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Столбнячный токсин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 паука каракурта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III группа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Микотоксины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Микотоксикозы 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Дифтерийный токсин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Стрептококковый токсин группы А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Стафилококковые токсины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Яды змей (кобры, эфы, гюрзы и другие)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7"/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Классификация микроорганизмов патогенных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животных по группам патогенности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5413"/>
        <w:gridCol w:w="4353"/>
      </w:tblGrid>
      <w:tr>
        <w:trPr>
          <w:trHeight w:val="43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возбудителя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Возбудитель какого заболевания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Бактерии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I группа патогенности </w:t>
            </w:r>
          </w:p>
        </w:tc>
      </w:tr>
      <w:tr>
        <w:trPr>
          <w:trHeight w:val="42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Yersinia pestis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Чумы верблюдов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II группа патогенности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Bacillus anthracis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Сибирской язвы </w:t>
            </w:r>
          </w:p>
        </w:tc>
      </w:tr>
      <w:tr>
        <w:trPr>
          <w:trHeight w:val="109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Brucella abortus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Brucella melitensis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Brucella suis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Brucella canis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Бруцеллеза 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Francisella tularensis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Туляремии </w:t>
            </w:r>
          </w:p>
        </w:tc>
      </w:tr>
      <w:tr>
        <w:trPr>
          <w:trHeight w:val="18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Pseudomonas mallei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Pseudomonas pseudomallei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Мелиоидоза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III группа патогенности 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Mykobacterium tuberculosis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Mykobacterium bovis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Туберкулеза 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Mykobacterium avium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Listeria monocytogenes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Листериоза 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Salmonella dublin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Salmonella cholerae suis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Salmonella abortus ovis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Сальмонеллеза 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Salmonella abortus egvi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Salmonella typhimurium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Salmonella pullorum gallinarium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Clostridium perfringens </w:t>
            </w:r>
          </w:p>
        </w:tc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Брадзота и инфекционной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энтеротоксемии овец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эмфизематозного карбункула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злокачественного отека 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Clostridium hovyi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Clostridium oedematiens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Clostridium septicum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Clostridium hystolyticum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Fusobacterium necrophorum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Некробактериоза </w:t>
            </w:r>
          </w:p>
        </w:tc>
      </w:tr>
      <w:tr>
        <w:trPr>
          <w:trHeight w:val="36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Erysipelothrix insidiosa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Рожи свиней </w:t>
            </w:r>
          </w:p>
        </w:tc>
      </w:tr>
      <w:tr>
        <w:trPr>
          <w:trHeight w:val="18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Leptospira Pomona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Leptospira Tarassovi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Leptospira Hebdomatis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Лептоспироза 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Leptospira Gryppotyphosa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Leptospira Icterrohaemorrhagiae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Leptospira Canicola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Mycobacterium paratuberculesus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Паратуберкулеза 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Clostridium tetani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Столбняка </w:t>
            </w:r>
          </w:p>
        </w:tc>
      </w:tr>
      <w:tr>
        <w:trPr>
          <w:trHeight w:val="36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Clostridium botulinum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Ботулизма 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Yersinia pseudotuberculosis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Псевдотуберкулеза 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Pasteurella multocida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Пастереллеза </w:t>
            </w:r>
          </w:p>
        </w:tc>
      </w:tr>
      <w:tr>
        <w:trPr>
          <w:trHeight w:val="36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Campylobacter fetus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Кампилобактериоза 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Brucella ovis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Инфекционного эпидидимита овец </w:t>
            </w:r>
          </w:p>
        </w:tc>
      </w:tr>
      <w:tr>
        <w:trPr>
          <w:trHeight w:val="3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Borrelia hyodysenteria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Дизентерии свиней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IV группа патогенности </w:t>
            </w:r>
          </w:p>
        </w:tc>
      </w:tr>
      <w:tr>
        <w:trPr>
          <w:trHeight w:val="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Staphilococcus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Стафилококкоза </w:t>
            </w:r>
          </w:p>
        </w:tc>
      </w:tr>
      <w:tr>
        <w:trPr>
          <w:trHeight w:val="30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Streptococcus egvi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Мыта лошадей 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Escherichia coli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Колибактериоза </w:t>
            </w:r>
          </w:p>
        </w:tc>
      </w:tr>
      <w:tr>
        <w:trPr>
          <w:trHeight w:val="34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Haemophilus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Гемофилезные болезни свиней </w:t>
            </w:r>
          </w:p>
        </w:tc>
      </w:tr>
      <w:tr>
        <w:trPr>
          <w:trHeight w:val="18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Diplococcus lanceolatus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Диплококкоза ягнят </w:t>
            </w:r>
          </w:p>
        </w:tc>
      </w:tr>
      <w:tr>
        <w:trPr>
          <w:trHeight w:val="27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Mycoplasma agalactiae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Инфекционной агалактии овец 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Mycoplasma gallisepticum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Респираторного микоплазмоза </w:t>
            </w:r>
          </w:p>
        </w:tc>
      </w:tr>
      <w:tr>
        <w:trPr>
          <w:trHeight w:val="18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Mycoplasma hyopneumoniae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Энзоотической пневмонии </w:t>
            </w:r>
          </w:p>
        </w:tc>
      </w:tr>
      <w:tr>
        <w:trPr>
          <w:trHeight w:val="24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Bacillus Larvae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Американского гнильца пчел </w:t>
            </w:r>
          </w:p>
        </w:tc>
      </w:tr>
      <w:tr>
        <w:trPr>
          <w:trHeight w:val="42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Peptostreptococcus pluton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Европейского гнильца пчел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Риккетсии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I группа патогенности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Cowdria burneti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Лихорадки Ку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Cowdria ruminantium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Гидроперикардита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6073"/>
        <w:gridCol w:w="44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Грибы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II группа патогенности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Histoplasma farciminosum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Эпизоотического лимфангита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Candida albicans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Кандидамикоза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Blastomyces dermatitides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Бластамикоза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III группа патогенности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Aspergillus fumigatus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Аспергиллеза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Actinomyces bovis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Актиномикоза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Trichophyton faviforme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Trichophyton gypseum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Trichophyton egvuinum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Трихофитии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Microsporum egvuinum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Microsporum gypseum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Microsporum lanosum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Microsporum nfnum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Микроспории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IV группа патогенности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Botryomyces ascoformans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Ботриомикоза </w:t>
            </w:r>
          </w:p>
        </w:tc>
      </w:tr>
      <w:tr>
        <w:trPr>
          <w:trHeight w:val="4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Stachybotrus altemans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Стахиботриотоксикоза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Вирусы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I группа патогенности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Picornaviridae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 Aphthovirus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Ящура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Paramyxoviridae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 Paramyxoviris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Чумы крупного рогатого скота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Togaviridae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 Pestivirus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Классической чумы свиней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Iridoviridae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Африканской чумы свиней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Poxviridae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Capripoxvirus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Оспы овец и коз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Paramyxoviridae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Paramyxoviris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Ньюкаслской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птиц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Reovirilae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Orbivirus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Катаральной лихорадки овец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Orthomyxoviridae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Influenzavirus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Гриппа птиц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Rhabdoviridae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vesiculovirus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Везикулярного стоматита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II группа патогенности </w:t>
            </w:r>
          </w:p>
        </w:tc>
      </w:tr>
      <w:tr>
        <w:trPr>
          <w:trHeight w:val="3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Paramyxoviridae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Чумы плотоядных </w:t>
            </w:r>
          </w:p>
        </w:tc>
      </w:tr>
      <w:tr>
        <w:trPr>
          <w:trHeight w:val="5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Rhabdoviridae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Lyssavirus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бешенства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Retroviridae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Инфекционной анемии лошадей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Togaviridae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Alphavirus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Инфекционного энцефаломиелита лошадей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Orthomyxoviridae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Influenzavirus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Гриппа лошадей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Herpesviridae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Ринопневмонии лошадей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Herpesviridae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Ауески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Coronaviridae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Coronavirus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Инфекционного бронхита птиц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Coronaviridae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Трасмиссивного гастроэнтерита свиней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Birnaviridae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Гамбора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(инфекционного бурсита)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Herpesviridae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Марека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Herpesviridae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Инфекционного лариготрахеита птиц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Herpesviridae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Гепатита уток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Paramyxoviridae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Paramyxovirus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Парагриппа крупного рогатого скота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Poxviridae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Parapoxvirus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Контагиозной эктимы овец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Poxviridae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Leporipoxvirus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Миксоматоза кроликов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Retroviridae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Oncoviridae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Лейкоза крупного рогатого скота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Хламидии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II группа патогенности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Chlamydia psittaci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Орнитозов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III группа патогенности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Chlamydia psittaci var ovis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Хламидиозного аборта овец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Аттенуированные штаммы возбудителей I-II гpyпп относят к микроорганизмам III группы патогенности. Аттенуированные штаммы III-IV гpyпп относят к IV группе патогенности.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качестве источника заболеваний человека и животных, вызываемых микроорганизмами I-IV гpyпп, следует считать инфицированных: человека, теплокровных животных, переносчиков, объектов внешней среды. 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 2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работ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микроорганизмами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I-IV групп патогенности"        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контролю за соблюдением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требований биологической безопасности в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Комиссия по контролю соблюдения требований биологической безопасности в организации (далее - режимная комиссия) является исполнительно-консультативным органом, контролирующим порядок проведения работы с биологическим материалом в диагностических, научно-исследовательских и производственных лабораториях.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Работу комиссий по контролю соблюдения требований биологической безопасности возглавляет Центральная режимная комиссия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Комиссия создается в организациях (предприятиях), на базе которых проводятся любые виды работ (диагностические, исследовательские, производственные) с биологическим материалом I-IV групп патогенности.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Комиссия в составе не менее 3-5 человек, компетентных в вопросах безопасности работы с биологическим материалом, назначается приказом руководителя организации сроком на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Председателем комиссии назначается заместитель руководителя организации по эпидемиологическим вопросам (науке) или специалист, имеющий соответствующие знания и опыт работы. 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В своей деятельности комиссия руководствуется "Санитарно-эпидемиологическими требованиями к устройству и условиям работы микробиологических, вирусологических и паразитологических лабораторий",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21 января 2004 года N 63, зарегистрированным в Реестре государственной регистрации нормативных  правовых актов Республики Казахстан - за N 2692 и настоящими Правилами, другими нормативными документами по обеспечению биологической безопасности и указаниями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Комиссия контролируется руководителем организации и его заместителем по научной работе, ответственным за состояние безопасности работы с биологическим материалом, по методическим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Режимные комиссии противочумных станций подчиняются режимным комиссиям -  Центральной и Казахского научного центра карантинных и зоонозных инфекций им. М. Айкимбаева.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Режимные комиссии всех остальных организаций контролируются Центральной режимной комиссией.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В целях обеспечения безопасности работы с биологическим материалом при проведении диагностических, исследовательских и производственных работ комиссия решает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организация и проведение постоянного контроля за соблюдением регламентированного порядка обеспечения биологической безопасности 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организация и проведение комплекса мероприятий, направленных на предупреждение аварийных ситуаций и ликвидацию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контроль подготовленности персонала к работе с инфекционным материалом и организация наблюдения за состоянием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осуществляет контроль выполнения требований соответствующих нормативных документов, а также распоряжений (приказов) руководителя организации и предложений комиссии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проводит анализ состояния биологической безопасности и разрабатывает комплекс мер по ее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готовит отчетную и другую документацию по вопросам биологической безопасности.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11. В соответствии с возложенными на нее задачами комиссия проводит следующий комплекс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осуществляет ежегодный плановый и периодически внеплановый контроль выполнения регламентированного порядка обеспечения биологической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осуществляет контроль за своевременной диспансеризацией персонала, контролирует регламентированный порядок иммунопрофилактики, ведет учет лиц с повышенной чувствительностью к антибиотикам и лиц, имеющих противопоказания к вакцинации;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случае аварии при работе с биологически опасным материалом разрабатывает и представляет руководителю организации план мероприятий по ликвидации ее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проводит анализ установленных нарушений правил безопасности, предпосылок к этому, причин аварий и представляет руководителю организации план мероприятий по повышению эффективности системы биологической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оформляет необходимую документацию для получения (продления) разрешения на проведение работы с биологически опасным материалом;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проводит проверку знаний по вопросам соблюдения биологической безопасности персонала, работающего с биологически опасным материалом;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контролирует установленный порядок выезда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готовит отчет о работе комиссии за год и представляет его в организации, осуществляющие надзорные функции;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составляет план работы, утвержденный руководителем организации, нормативные и другие документы, необходимость которых определяется ее задачами и функциями.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12. В целях эффективной реализации своих задач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координирует выполнение руководителями подразделений и отдельных лиц правил биологической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ходатайствует перед руководителем организации об устранении имеющихся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проводит самостоятельно или с привлечением других квалифицированных специалистов плановые и внеплановые проверки соблюдения правил биологической безопасности 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ходатайствует перед руководителем организации о приостановлении работы с биологически опасным материалом в случае невозможности выполнения правил биологической безопасности или в случае их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представляет мотивированное ходатайство перед организацией, выдавшей разрешение, о приостановлении использования или запрещении внедрения в практику новых лабораторных методик, видов оборудования, дезинфектантов и других подобных действий, не обеспечивающих необходимого уровня биологической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заслушивает на заседании комиссии руководителей подразделений, сотрудников организации.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работ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микроорганизмами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I-IV групп патогенности"        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ПБА, находящихся в рабочей коллекции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Первичная учетная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учреждения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Отдела, отделения_______________________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Лаборатории_____________________________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формирования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Хранить 3 года до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Начат    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 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693"/>
        <w:gridCol w:w="1673"/>
        <w:gridCol w:w="1493"/>
        <w:gridCol w:w="1333"/>
        <w:gridCol w:w="1653"/>
        <w:gridCol w:w="14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штам-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низма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Откуда получен штамм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Число, 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тожении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Для типографии при изготовлении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формат А4 96 страниц 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работ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микроорганизмами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I-IV групп патогенности»        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патогенных биологических агентов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I-IV групп на временное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Первичная учетная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учреждения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Отдела, отделения_______________________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Лаборатории_____________________________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формирования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Хранить 3 года до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Начат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 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73"/>
        <w:gridCol w:w="1293"/>
        <w:gridCol w:w="1093"/>
        <w:gridCol w:w="953"/>
        <w:gridCol w:w="1093"/>
        <w:gridCol w:w="1333"/>
        <w:gridCol w:w="1333"/>
        <w:gridCol w:w="1333"/>
        <w:gridCol w:w="10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и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 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и 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штаммы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выдав-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Штаммы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работ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микроорганизмами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I-IV групп патогенности"        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депонированных штаммов ПБА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Первичная учетная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учреждения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Отдела, отделения_______________________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Лаборатории_____________________________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формирования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Хранить 3 года до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Начат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 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93"/>
        <w:gridCol w:w="873"/>
        <w:gridCol w:w="1153"/>
        <w:gridCol w:w="1113"/>
        <w:gridCol w:w="1013"/>
        <w:gridCol w:w="1253"/>
        <w:gridCol w:w="1113"/>
        <w:gridCol w:w="1313"/>
        <w:gridCol w:w="9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 дано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Nштам-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принял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 N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работ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микроорганизмами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I-IV групп патогенности"       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коллекционного штамма ПБА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Первичная учетная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биологического патогена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по инвентарной книге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объект выделения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выделения 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193"/>
        <w:gridCol w:w="2153"/>
        <w:gridCol w:w="1753"/>
        <w:gridCol w:w="2013"/>
        <w:gridCol w:w="179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Морфология роста на средах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Морфология в мазках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свойства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Вирулент-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свойства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Выбор и заполнение граф 2, 3, 4, 5, 6 определяется головным по проблеме институтом, в зависимости от вида и особенностей биологического патогена.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работ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микроорганизмами"          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Сведения о движении ПБА в коллекции микроорганизмов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(организация)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113"/>
        <w:gridCol w:w="1093"/>
        <w:gridCol w:w="1353"/>
        <w:gridCol w:w="1233"/>
        <w:gridCol w:w="1313"/>
        <w:gridCol w:w="1173"/>
        <w:gridCol w:w="993"/>
        <w:gridCol w:w="1353"/>
        <w:gridCol w:w="1273"/>
        <w:gridCol w:w="1493"/>
      </w:tblGrid>
      <w:tr>
        <w:trPr>
          <w:trHeight w:val="166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(род, вид)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штаммов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штаммов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тожено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штаммов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работ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микроорганизмами"           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Сведения о наличии ПБА в коллекции микроорганизмов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(организация)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113"/>
        <w:gridCol w:w="1113"/>
        <w:gridCol w:w="753"/>
        <w:gridCol w:w="1233"/>
        <w:gridCol w:w="1073"/>
        <w:gridCol w:w="993"/>
        <w:gridCol w:w="1253"/>
        <w:gridCol w:w="993"/>
        <w:gridCol w:w="1193"/>
        <w:gridCol w:w="1373"/>
      </w:tblGrid>
      <w:tr>
        <w:trPr>
          <w:trHeight w:val="52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Судьба штамма 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тожен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