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c6b70" w14:textId="77c6b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формы, правил заполнения и представления уведомлений Информационного центра по техническим барьерам в торговле, санитарным и фитосанитарным мерам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техническому регулированию и метрологии Министерства индустрии и торговли Республики Казахстан от 1 апреля 2005 года № 94. Зарегистрирован в Министерстве юстиции Республики Казахстан 5 мая 2005 года № 3623. Утратил силу приказом Министра индустрии и новых технологий Республики Казахстан от 14 сентября 2012 года № 319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индустрии и новых технологий РК от 14.09.2012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техническом регулировании"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заполнения и представления уведомлений Информационного центра по техническим барьерам в торговле, санитарным и фитосанитарным мерам.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формы уведомлений Информационного центра по техническим барьерам в торговле, санитарным и фитосанитарным мерам.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Момышева Т.А.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их первого официального опубликования.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Комитета по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техническому регулированию и метрологии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индустрии и торговли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апреля 2005 года N 94  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  </w:t>
      </w:r>
      <w:r>
        <w:br/>
      </w:r>
      <w:r>
        <w:rPr>
          <w:rFonts w:ascii="Times New Roman"/>
          <w:b/>
          <w:i w:val="false"/>
          <w:color w:val="000000"/>
        </w:rPr>
        <w:t xml:space="preserve">
заполнения и представления уведомлений  </w:t>
      </w:r>
      <w:r>
        <w:br/>
      </w:r>
      <w:r>
        <w:rPr>
          <w:rFonts w:ascii="Times New Roman"/>
          <w:b/>
          <w:i w:val="false"/>
          <w:color w:val="000000"/>
        </w:rPr>
        <w:t xml:space="preserve">
Информационного центра по техническим барьерам  </w:t>
      </w:r>
      <w:r>
        <w:br/>
      </w:r>
      <w:r>
        <w:rPr>
          <w:rFonts w:ascii="Times New Roman"/>
          <w:b/>
          <w:i w:val="false"/>
          <w:color w:val="000000"/>
        </w:rPr>
        <w:t xml:space="preserve">
в торговле, санитарным и фитосанитарным мерам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статьей 10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техническом регулировании".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устанавливают порядок заполнения и представления уведомлений Информационного центра по техническим барьерам в торговле, санитарным и фитосанитарным мерам (далее - уведомления).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предназначены для Информационного центра по техническим барьерам в торговле, санитарным и фитосанитарным мерам (далее - Информационный центр), а также физических и юридических лиц и их ассоциаций, союзов, деятельность которых непосредственно связана с разработкой нормативных правовых актов в области технического регулирования, санитарных и фитосанитарных мер, и иных лиц, участие которых предусмотрено международными договорами Республики Казахстан (далее - заинтересованные стороны). 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Заполнение уведомлений осуществляется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информацию об утвержденных или разрабатываемых нормативных правовых актах в области технического регулирования и санитарных и фитосанитарных мер (далее - СФС мер), которые могут оказывать значительное влияние на международную торговлю;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информацию о разработке проекта, изменений и (или) дополнений или отмене нормативного правового акта в области технического регулирования и СФС 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информацию о разработке проекта, изменений и (или) дополнений или отмене стандартов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информацию о действующих или разрабатываемых процедурах подтверждения соответствия продукции, услуги;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информацию о принятых или разрабатываемых санитарных или фитосанитарных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информацию о процедурах контроля и инспектирования, режимов производства и карантина, процедур одобрения допустимого уровня пестицидов и пищевых добавок, которые действуют в Республике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информацию на процедуры подтверждения риска, учитываемых факторов, а также определения надлежащего уровня санитарной или фитосанитарной защиты;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информацию о членстве или участии Республики Казахстан в международных и региональных организациях и международных договорах по стандартизации, подтверждения соответствия, ветеринарии, защиты и карантину растений, аккредитации, а также в двухсторонних и многосторонних соглашениях и договоренностях в рамках Соглашений по техническим барьерам в торговле (далее - ТБТ) и СФС мер;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информацию об источниках публикуемых проектов разрабатываемых и принятых нормативных правовых актов в области технического регулирования, СФС мер, стандартов или информации о них.  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заполнения и представления  </w:t>
      </w:r>
      <w:r>
        <w:br/>
      </w:r>
      <w:r>
        <w:rPr>
          <w:rFonts w:ascii="Times New Roman"/>
          <w:b/>
          <w:i w:val="false"/>
          <w:color w:val="000000"/>
        </w:rPr>
        <w:t xml:space="preserve">
уведомлений Информационного центра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Уведомления, в зависимости от срока введения в действие подразделяется на: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обычные;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экстренные.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Обычные уведомления информационные службы представляют в Информационный центр на этапе разработки нормативных правовых актов в области технического регулирования, СФС мер, стандартов, изменений к ним и процедур подтверждения соответствия продукции, услуг с целью предоставления возможности заинтересованным странам-участницам Всемирной торговой организации (далее - ВТО) ознакомиться с намерением страны ввести конкретное регулирование.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Экстренные уведомления информационные службы представляют в Информационный центр при принятии  нормативных правовых актов в области технического регулирования, СФС мер, стандартов, изменений к ним и процедур подтверждения соответствия продукции, услуг с целью уведомления заинтересованных стран-участниц ВТО о введении конкретного регулирования, связанного с неотложными проблемами защиты жизни или здоровья людей, животных и растений, охраны окружающей среды.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заполнения экстренных уведомлений в рамках Соглашений ТБТ и СФС мер приведен в приложении 1. 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Уведомления в Секретариат ВТО, Комитет по ТБТ, Комитет по СФС мерам и странам-участницам ВТО представляются на английском языке.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Информационный центр, путем публикации информации о действующих или разрабатываемых нормативных правовых актах в области технического регулирования, санитарных и фитосанитарных мерах, стандартах, изменениях к ним и процедурах подтверждения соответствия продукции, услуг, размещает их в официальном печатном издании  уполномоченного органа и информационной системе общего пользования в виде уведомлений.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Уведомлениям, представленным в Секретариат ВТО, Комитет по ТБТ, Комитет по СФС мерам и странам-участницам ВТО, Информационный центр присваивает идентификационный номер.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Уведомления заполняются согласно формам, утвержденным настоящим приказом.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Информация, представляемая в уведомлениях, должна полностью и однозначно характеризовать объект уведомления и степень его соответствия требованиям международных стандартов, предписаний и рекомендаций международных, региональных и национальных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Каждая графа уведомления должна быть заполнена. При отсутствии информации в графе приводится запись "не известно" или "не установлено".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Объем уведомлений должен составлять не более 2-х страниц, формата А4, шрифт Times New Roman 12.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заполнения и представления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уведомлений Информационного центра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техническим барьерам в торговле,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санитарным и фитосанитарным мерам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Порядок заполнения экстренных уведомлений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в рамках Соглашения ВТО по СФС мер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2"/>
        <w:gridCol w:w="8778"/>
      </w:tblGrid>
      <w:tr>
        <w:trPr>
          <w:trHeight w:val="45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уведомления 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Рекомендации по заполнению </w:t>
            </w:r>
          </w:p>
        </w:tc>
      </w:tr>
      <w:tr>
        <w:trPr>
          <w:trHeight w:val="45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Уведомляющая сторона Соглашения 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 1)  </w:t>
            </w:r>
          </w:p>
        </w:tc>
      </w:tr>
      <w:tr>
        <w:trPr>
          <w:trHeight w:val="45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Ответственный орган 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ответственного органа государственного управления, принимающего (утверждающего) документ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органа государственного управления, разрабатывающего проект санитарного или фитосанитарного постановления меры </w:t>
            </w:r>
          </w:p>
        </w:tc>
      </w:tr>
      <w:tr>
        <w:trPr>
          <w:trHeight w:val="45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Охватываемая продукция (услуга или иной объект) 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(а) наименования продукции согласно данным национальных списков, представленных в ВТО (аббревиатуры недопустимы)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Регионы или страны, на которые могут оказать влияние положения документа, в котором предоставляется уведомление 2)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Коды ТН ВЭД  дополнительно </w:t>
            </w:r>
          </w:p>
        </w:tc>
      </w:tr>
      <w:tr>
        <w:trPr>
          <w:trHeight w:val="45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Наименование документа  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Обозначение и полное наименование разрабатываемого документа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страниц документа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о наличии перевода документа или о перспективах его перевода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о наличии перевода краткой аннотации документа </w:t>
            </w:r>
          </w:p>
        </w:tc>
      </w:tr>
      <w:tr>
        <w:trPr>
          <w:trHeight w:val="45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Описание содержания 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Краткая аннотация к проекту документа (должна обеспечивать понимание возможности применения документа, не должна содержать аббревиатур) </w:t>
            </w:r>
          </w:p>
        </w:tc>
      </w:tr>
      <w:tr>
        <w:trPr>
          <w:trHeight w:val="45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Цель и обоснование 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устанавливаемые требования: [ ] безопасность продуктов питания; [ ] здоровье животных; [ ] защита растений; [ ] защита человека от паразитов, животных/растений или заболеваний; [ ] защита территории от ущерба от паразитов </w:t>
            </w:r>
          </w:p>
        </w:tc>
      </w:tr>
      <w:tr>
        <w:trPr>
          <w:trHeight w:val="45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Суть экстренной проблемы 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Причина (-ы) обращения к экстренным мерам </w:t>
            </w:r>
          </w:p>
        </w:tc>
      </w:tr>
      <w:tr>
        <w:trPr>
          <w:trHeight w:val="45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Международные стандарты, предписания и рекомендации 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Имеются международные стандарты, предписания, рекомендации [ ]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наличии международных стандартов, предписаний и рекомендаций приводится соответствующая ссылка или кратко указываются отступления от них </w:t>
            </w:r>
          </w:p>
        </w:tc>
      </w:tr>
      <w:tr>
        <w:trPr>
          <w:trHeight w:val="45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Релевантные документы 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Издание, в котором публикуется уведомление, включая дату и ссылочный номер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 (-и), на котором публикуется уведомление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Ссылка на международный аналог разрабатываемого документа (с конкретным ссылочным номером или другой идентификацией)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отклонений от приведенного международного аналога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Предпринятые меры и документы, в которые были внесены изменения (включая дату и ссылочный номер или другие признаки идентификации)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Предложение и основной документ, на который ссылается предложение (с точным номером ссылки или другим опознавательным знаком)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Язык(-и), на котором издано(-ы) уведомление(-я)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Язык(-и), на котором можно получить новые документы или краткую аннотацию к ним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Язык(-и), на котором доступен новый документ или краткая аннотация к нему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Издание, в котором будет опубликован новый документ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Если документы не могут быть предоставлены бесплатно, необходимо указать стоимость этой услуги </w:t>
            </w:r>
          </w:p>
        </w:tc>
      </w:tr>
      <w:tr>
        <w:trPr>
          <w:trHeight w:val="45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Дата вступления в силу/срок действия 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Дата, когда ожидается введение документа в 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действия документа </w:t>
            </w:r>
          </w:p>
        </w:tc>
      </w:tr>
      <w:tr>
        <w:trPr>
          <w:trHeight w:val="45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Документ можно получить 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орган для работы с комментариями (отзывами)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Информационный центр по ТБТ/СФС [ ] и/или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 ] наименование и координаты ответственного органа государственного управления, назначенного дополнительно для работы с комментариями (отзывами)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(включая адрес, номер телефона и/или факса, адрес электронной почты и/или web-сайт в Интернет, при наличии)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за составление уведомления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и координаты назначенного ответственного органа государственного управления, ФИО лица, осуществляющего взаимодействие и ответственного за составление уведомления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(включая адрес, номер телефона и/или факса, адрес электронной почты и/или web-сайт в Интернет, при наличии)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- При необходимости указывается наименование местного органа власти;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- Перечислить, при возможности, страны, которые подвергнутся воздействию, в противном случае использовать обороты "все страны, экспортирующие товар в Республику Казахстан", "все страны, подверженные публикуемому языку".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 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Комитета по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техническому регулированию и метрологии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индустрии и торговли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апреля 2005 года N 94   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 Уведомление в рамках Соглашений ВТО по ТБТ и СФС 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ВСЕМИРНАЯ ТОРГОВАЯ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G/TBT/Notif/BY/00.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(00-0000)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УВЕДОМЛЕНИЕ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93"/>
      </w:tblGrid>
      <w:tr>
        <w:trPr>
          <w:trHeight w:val="450" w:hRule="atLeast"/>
        </w:trPr>
        <w:tc>
          <w:tcPr>
            <w:tcW w:w="1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Уведомляющая сторона Соглашения: </w:t>
            </w:r>
          </w:p>
        </w:tc>
      </w:tr>
      <w:tr>
        <w:trPr>
          <w:trHeight w:val="450" w:hRule="atLeast"/>
        </w:trPr>
        <w:tc>
          <w:tcPr>
            <w:tcW w:w="1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орган: </w:t>
            </w:r>
          </w:p>
        </w:tc>
      </w:tr>
      <w:tr>
        <w:trPr>
          <w:trHeight w:val="450" w:hRule="atLeast"/>
        </w:trPr>
        <w:tc>
          <w:tcPr>
            <w:tcW w:w="1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орган для работы с комментариями (отзывами): </w:t>
            </w:r>
          </w:p>
        </w:tc>
      </w:tr>
      <w:tr>
        <w:trPr>
          <w:trHeight w:val="450" w:hRule="atLeast"/>
        </w:trPr>
        <w:tc>
          <w:tcPr>
            <w:tcW w:w="1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Уведомляется согласно Статье [ ]: </w:t>
            </w:r>
          </w:p>
        </w:tc>
      </w:tr>
      <w:tr>
        <w:trPr>
          <w:trHeight w:val="450" w:hRule="atLeast"/>
        </w:trPr>
        <w:tc>
          <w:tcPr>
            <w:tcW w:w="1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Охватываемая продукция: </w:t>
            </w:r>
          </w:p>
        </w:tc>
      </w:tr>
      <w:tr>
        <w:trPr>
          <w:trHeight w:val="450" w:hRule="atLeast"/>
        </w:trPr>
        <w:tc>
          <w:tcPr>
            <w:tcW w:w="1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документа: </w:t>
            </w:r>
          </w:p>
        </w:tc>
      </w:tr>
      <w:tr>
        <w:trPr>
          <w:trHeight w:val="450" w:hRule="atLeast"/>
        </w:trPr>
        <w:tc>
          <w:tcPr>
            <w:tcW w:w="1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содержания: </w:t>
            </w:r>
          </w:p>
        </w:tc>
      </w:tr>
      <w:tr>
        <w:trPr>
          <w:trHeight w:val="450" w:hRule="atLeast"/>
        </w:trPr>
        <w:tc>
          <w:tcPr>
            <w:tcW w:w="1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и обоснование: </w:t>
            </w:r>
          </w:p>
        </w:tc>
      </w:tr>
      <w:tr>
        <w:trPr>
          <w:trHeight w:val="450" w:hRule="atLeast"/>
        </w:trPr>
        <w:tc>
          <w:tcPr>
            <w:tcW w:w="1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Релевантные документы: </w:t>
            </w:r>
          </w:p>
        </w:tc>
      </w:tr>
      <w:tr>
        <w:trPr>
          <w:trHeight w:val="450" w:hRule="atLeast"/>
        </w:trPr>
        <w:tc>
          <w:tcPr>
            <w:tcW w:w="1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Предполагаемая дата принятия (утверждения) документа: </w:t>
            </w:r>
          </w:p>
        </w:tc>
      </w:tr>
      <w:tr>
        <w:trPr>
          <w:trHeight w:val="450" w:hRule="atLeast"/>
        </w:trPr>
        <w:tc>
          <w:tcPr>
            <w:tcW w:w="1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Предполагаемая дата введения документа в действие: </w:t>
            </w:r>
          </w:p>
        </w:tc>
      </w:tr>
      <w:tr>
        <w:trPr>
          <w:trHeight w:val="450" w:hRule="atLeast"/>
        </w:trPr>
        <w:tc>
          <w:tcPr>
            <w:tcW w:w="1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Окончательная дата представления комментариев (отзывов): </w:t>
            </w:r>
          </w:p>
        </w:tc>
      </w:tr>
      <w:tr>
        <w:trPr>
          <w:trHeight w:val="450" w:hRule="atLeast"/>
        </w:trPr>
        <w:tc>
          <w:tcPr>
            <w:tcW w:w="1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 можно получить: </w:t>
            </w:r>
          </w:p>
        </w:tc>
      </w:tr>
      <w:tr>
        <w:trPr>
          <w:trHeight w:val="450" w:hRule="atLeast"/>
        </w:trPr>
        <w:tc>
          <w:tcPr>
            <w:tcW w:w="1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за составление уведомления: </w:t>
            </w:r>
          </w:p>
        </w:tc>
      </w:tr>
    </w:tbl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 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Комитета по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техническому регулированию и метрологии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индустрии и торговли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апреля 2005 года N 94  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 Уведомление об участии в международных и региональных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организациях по техническим и санитарным и фитосанитарным мерам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ВСЕМИРНАЯ ТОРГОВАЯ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G/TBT/Notif/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(00-0000)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УВЕДОМЛЕНИЕ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3"/>
      </w:tblGrid>
      <w:tr>
        <w:trPr>
          <w:trHeight w:val="450" w:hRule="atLeast"/>
        </w:trPr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Уведомляющая сторона: </w:t>
            </w:r>
          </w:p>
        </w:tc>
      </w:tr>
      <w:tr>
        <w:trPr>
          <w:trHeight w:val="450" w:hRule="atLeast"/>
        </w:trPr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двустороннего или многостороннего Соглашения: </w:t>
            </w:r>
          </w:p>
        </w:tc>
      </w:tr>
      <w:tr>
        <w:trPr>
          <w:trHeight w:val="450" w:hRule="atLeast"/>
        </w:trPr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Участники Соглашения:  </w:t>
            </w:r>
          </w:p>
        </w:tc>
      </w:tr>
      <w:tr>
        <w:trPr>
          <w:trHeight w:val="450" w:hRule="atLeast"/>
        </w:trPr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вступления Соглашения в силу: </w:t>
            </w:r>
          </w:p>
        </w:tc>
      </w:tr>
      <w:tr>
        <w:trPr>
          <w:trHeight w:val="450" w:hRule="atLeast"/>
        </w:trPr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Охватываемая продукция: </w:t>
            </w:r>
          </w:p>
        </w:tc>
      </w:tr>
      <w:tr>
        <w:trPr>
          <w:trHeight w:val="450" w:hRule="atLeast"/>
        </w:trPr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Предмет Соглашения: </w:t>
            </w:r>
          </w:p>
        </w:tc>
      </w:tr>
      <w:tr>
        <w:trPr>
          <w:trHeight w:val="450" w:hRule="atLeast"/>
        </w:trPr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Краткое описание Соглашения: </w:t>
            </w:r>
          </w:p>
        </w:tc>
      </w:tr>
      <w:tr>
        <w:trPr>
          <w:trHeight w:val="450" w:hRule="atLeast"/>
        </w:trPr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Дополнительную информацию можно получить в: </w:t>
            </w:r>
          </w:p>
        </w:tc>
      </w:tr>
      <w:tr>
        <w:trPr>
          <w:trHeight w:val="450" w:hRule="atLeast"/>
        </w:trPr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за составление уведомления: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