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924a" w14:textId="23a9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признания сделок с ценными бумагами как заключенных с целью манипулирования ценами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26 марта 2005 года N 110. Зарегистрировано в Министерстве юстиции Республики Казахстан 5 мая 2005 года N 3615. Утратило силу постановлением Правления Агентства Республики Казахстан по регулированию и надзору финансового рынка и финансовых организаций от 28 ноября 2008 года N 196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финансового рынка и финансовых организаций от 28.11.2008 N 196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повышения степени прозрачности и эффективности функционирования рынка ценных бумаг, защиты прав и интересов инвесторов, а также в соответствии со 
</w:t>
      </w:r>
      <w:r>
        <w:rPr>
          <w:rFonts w:ascii="Times New Roman"/>
          <w:b w:val="false"/>
          <w:i w:val="false"/>
          <w:color w:val="000000"/>
          <w:sz w:val="28"/>
        </w:rPr>
        <w:t xml:space="preserve"> статьей 56 </w:t>
      </w:r>
      <w:r>
        <w:rPr>
          <w:rFonts w:ascii="Times New Roman"/>
          <w:b w:val="false"/>
          <w:i w:val="false"/>
          <w:color w:val="000000"/>
          <w:sz w:val="28"/>
        </w:rPr>
        <w:t>
 Закона Республики Казахстан "О рынке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признания сделок с ценными бумагами как заключенных с целью манипулирования ценами.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"Об утверждении Правил признания сделок с ценными бумагами как заключенных с целью манипулирования ценами" от 15 марта 2004 года N 80 (зарегистрированное в Реестре государственной регистрации нормативных правовых актов Республики Казахстан под N 2799).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организатора торгов, организаций, осуществляющих брокерско-дилерскую деятельность на рынке ценных бумаг, объединения юридических лиц "Ассоциация финансистов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5. Отделу международных отношений и связей с общественностью (Пернебаев Т.Ш.) обеспечить публикацию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и надзору
</w:t>
      </w:r>
      <w:r>
        <w:br/>
      </w:r>
      <w:r>
        <w:rPr>
          <w:rFonts w:ascii="Times New Roman"/>
          <w:b w:val="false"/>
          <w:i w:val="false"/>
          <w:color w:val="000000"/>
          <w:sz w:val="28"/>
        </w:rPr>
        <w:t>
финансового рынка и    
</w:t>
      </w:r>
      <w:r>
        <w:br/>
      </w:r>
      <w:r>
        <w:rPr>
          <w:rFonts w:ascii="Times New Roman"/>
          <w:b w:val="false"/>
          <w:i w:val="false"/>
          <w:color w:val="000000"/>
          <w:sz w:val="28"/>
        </w:rPr>
        <w:t>
финансовых организаций   
</w:t>
      </w:r>
      <w:r>
        <w:br/>
      </w:r>
      <w:r>
        <w:rPr>
          <w:rFonts w:ascii="Times New Roman"/>
          <w:b w:val="false"/>
          <w:i w:val="false"/>
          <w:color w:val="000000"/>
          <w:sz w:val="28"/>
        </w:rPr>
        <w:t>
от 26 марта 2005 года N 110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признания сделок с ценными бумагами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как заключенных с целью манипулирования ценами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определяют порядок признания сделок с ценными бумагами, предусмотренных пунктом 3 
</w:t>
      </w:r>
      <w:r>
        <w:rPr>
          <w:rFonts w:ascii="Times New Roman"/>
          <w:b w:val="false"/>
          <w:i w:val="false"/>
          <w:color w:val="000000"/>
          <w:sz w:val="28"/>
        </w:rPr>
        <w:t xml:space="preserve"> статьи 56 </w:t>
      </w:r>
      <w:r>
        <w:rPr>
          <w:rFonts w:ascii="Times New Roman"/>
          <w:b w:val="false"/>
          <w:i w:val="false"/>
          <w:color w:val="000000"/>
          <w:sz w:val="28"/>
        </w:rPr>
        <w:t>
 Закона Республики Казахстан "О рынке ценных бумаг", как заключенных с целью манипулирования ценами.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преамбулу внесены изменения - постановлением Правления Агентства РК по регулированию и надзору финансового рынка и финансовых организаций РК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его гос.регистрации в МЮ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Сделкой, совершаемой по предварительно оговоренной между ее сторонами цене, существенно отличающейся от цен на данные ценные бумаги, которые сложились на рынке ценных бумаг до заключения такой сделки, признается сделка, заключенная на торгах, проведенных организатором торгов методом заключения прямых сделок, если:
</w:t>
      </w:r>
      <w:r>
        <w:br/>
      </w:r>
      <w:r>
        <w:rPr>
          <w:rFonts w:ascii="Times New Roman"/>
          <w:b w:val="false"/>
          <w:i w:val="false"/>
          <w:color w:val="000000"/>
          <w:sz w:val="28"/>
        </w:rPr>
        <w:t>
     при заключении сделки с акциями отклонение цены данной сделки с акциями от средневзвешенной рыночной цены этих акций, рассчитанной в соответствии с пунктом 3 настоящих Правил, составляет тридцать и более процентов;
</w:t>
      </w:r>
      <w:r>
        <w:br/>
      </w:r>
      <w:r>
        <w:rPr>
          <w:rFonts w:ascii="Times New Roman"/>
          <w:b w:val="false"/>
          <w:i w:val="false"/>
          <w:color w:val="000000"/>
          <w:sz w:val="28"/>
        </w:rPr>
        <w:t>
     при заключении сделки с облигациями (в том числе с государственными эмиссионными ценными бумагами) отклонение доходности этих облигаций к погашению в соответствии с ценой данной сделки от средневзвешенной рыночной доходности этих облигаций к погашению, рассчитанной в соответствии с пунктом 4 настоящих Правил, составляет три и более процентных пункта.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Не являются заключенными с целью манипулирования ценами, следующие сделки, имеющие встречную направленность с примерно одинаковыми ценами и временем совершения:
</w:t>
      </w:r>
      <w:r>
        <w:br/>
      </w:r>
      <w:r>
        <w:rPr>
          <w:rFonts w:ascii="Times New Roman"/>
          <w:b w:val="false"/>
          <w:i w:val="false"/>
          <w:color w:val="000000"/>
          <w:sz w:val="28"/>
        </w:rPr>
        <w:t>
     1) сделки открытия и закрытия репо, которые относятся к одной и той же операции репо, осуществляемой в предназначенном для таких операций секторе торговой системы организатора торгов;
</w:t>
      </w:r>
      <w:r>
        <w:br/>
      </w:r>
      <w:r>
        <w:rPr>
          <w:rFonts w:ascii="Times New Roman"/>
          <w:b w:val="false"/>
          <w:i w:val="false"/>
          <w:color w:val="000000"/>
          <w:sz w:val="28"/>
        </w:rPr>
        <w:t>
     2) две сделки одного и того же объема с одними и теми же ценными бумагами, вторая из которых заключена в целях исправления технической ошибки, допущенной при заключении первой из данных сделок;
</w:t>
      </w:r>
      <w:r>
        <w:br/>
      </w:r>
      <w:r>
        <w:rPr>
          <w:rFonts w:ascii="Times New Roman"/>
          <w:b w:val="false"/>
          <w:i w:val="false"/>
          <w:color w:val="000000"/>
          <w:sz w:val="28"/>
        </w:rPr>
        <w:t>
     3) сделки, совершенные маркет-мейкером с целью поддержания в торговой системе организатора торгов обязательной котировки по ценным бумагам;
</w:t>
      </w:r>
      <w:r>
        <w:br/>
      </w:r>
      <w:r>
        <w:rPr>
          <w:rFonts w:ascii="Times New Roman"/>
          <w:b w:val="false"/>
          <w:i w:val="false"/>
          <w:color w:val="000000"/>
          <w:sz w:val="28"/>
        </w:rPr>
        <w:t>
     4) сделки с ценными бумагами, заключенные в торговой системе организатора торгов методом открытых торгов, при условии, что в течение последних тридцати дней, предшествующих дате заключения сделки, но не менее чем в течение десяти дней из этого периода, с ценными бумагами данного наименования было заключено не менее двадцати сделок суммарным объемом не менее пятидесяти миллионов тенге, сторонами которых являлись не менее десяти членов организатора торгов.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в редакции постановления Правления Агентства РК по регулированию и надзору финансового рынка и финансовых организаций от 26.05.2008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Средневзвешенная рыночная цена акций рассчитывается как отношение суммарного объема сделок с акциями (в деньгах), которые заключены на торгах, проведенных организатором торгов методом открытых торгов в течение последних тридцати полностью истекших календарных дней, к суммарному размеру таких сделок (в ценных бумагах) (с учетом особенности, установленной абзацем вторым настоящего пункта).
</w:t>
      </w:r>
      <w:r>
        <w:br/>
      </w:r>
      <w:r>
        <w:rPr>
          <w:rFonts w:ascii="Times New Roman"/>
          <w:b w:val="false"/>
          <w:i w:val="false"/>
          <w:color w:val="000000"/>
          <w:sz w:val="28"/>
        </w:rPr>
        <w:t>
     В случае, если количество сделок с акциями, заключенных в течение указанного периода, составляет менее пяти, то средневзвешенная рыночная цена этих акций рассчитывается как отношение суммарного объема последних пяти сделок с этими акциями (в деньгах), которые заключены на торгах, проведенных организатором торгов методами открытых торгов в течение последних ста восьмидесяти полностью истекших дней, к суммарному размеру таких последних пяти сделок (в ценных бумагах).
</w:t>
      </w:r>
    </w:p>
    <w:p>
      <w:pPr>
        <w:spacing w:after="0"/>
        <w:ind w:left="0"/>
        <w:jc w:val="both"/>
      </w:pPr>
      <w:r>
        <w:rPr>
          <w:rFonts w:ascii="Times New Roman"/>
          <w:b w:val="false"/>
          <w:i w:val="false"/>
          <w:color w:val="000000"/>
          <w:sz w:val="28"/>
        </w:rPr>
        <w:t>
</w:t>
      </w:r>
      <w:r>
        <w:rPr>
          <w:rFonts w:ascii="Times New Roman"/>
          <w:b w:val="false"/>
          <w:i w:val="false"/>
          <w:color w:val="000000"/>
          <w:sz w:val="28"/>
        </w:rPr>
        <w:t>
     4. Средневзвешенная рыночная доходность облигаций к погашению рассчитывается по формуле:
</w:t>
      </w:r>
      <w:r>
        <w:br/>
      </w:r>
      <w:r>
        <w:rPr>
          <w:rFonts w:ascii="Times New Roman"/>
          <w:b w:val="false"/>
          <w:i w:val="false"/>
          <w:color w:val="000000"/>
          <w:sz w:val="28"/>
        </w:rPr>
        <w:t>
          __n
</w:t>
      </w:r>
      <w:r>
        <w:br/>
      </w:r>
      <w:r>
        <w:rPr>
          <w:rFonts w:ascii="Times New Roman"/>
          <w:b w:val="false"/>
          <w:i w:val="false"/>
          <w:color w:val="000000"/>
          <w:sz w:val="28"/>
        </w:rPr>
        <w:t>
          \   (in * Vn)
</w:t>
      </w:r>
      <w:r>
        <w:br/>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br/>
      </w:r>
      <w:r>
        <w:rPr>
          <w:rFonts w:ascii="Times New Roman"/>
          <w:b w:val="false"/>
          <w:i w:val="false"/>
          <w:color w:val="000000"/>
          <w:sz w:val="28"/>
        </w:rPr>
        <w:t>
           i=1 
</w:t>
      </w:r>
      <w:r>
        <w:br/>
      </w:r>
      <w:r>
        <w:rPr>
          <w:rFonts w:ascii="Times New Roman"/>
          <w:b w:val="false"/>
          <w:i w:val="false"/>
          <w:color w:val="000000"/>
          <w:sz w:val="28"/>
        </w:rPr>
        <w:t>
      I = --------------  , где
</w:t>
      </w:r>
      <w:r>
        <w:br/>
      </w:r>
      <w:r>
        <w:rPr>
          <w:rFonts w:ascii="Times New Roman"/>
          <w:b w:val="false"/>
          <w:i w:val="false"/>
          <w:color w:val="000000"/>
          <w:sz w:val="28"/>
        </w:rPr>
        <w:t>
          __
</w:t>
      </w:r>
      <w:r>
        <w:br/>
      </w:r>
      <w:r>
        <w:rPr>
          <w:rFonts w:ascii="Times New Roman"/>
          <w:b w:val="false"/>
          <w:i w:val="false"/>
          <w:color w:val="000000"/>
          <w:sz w:val="28"/>
        </w:rPr>
        <w:t>
          \  Vn
</w:t>
      </w:r>
      <w:r>
        <w:br/>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средневзвешенная рыночная доходность облигаций к погашению, в процентах годовых;
</w:t>
      </w:r>
    </w:p>
    <w:p>
      <w:pPr>
        <w:spacing w:after="0"/>
        <w:ind w:left="0"/>
        <w:jc w:val="both"/>
      </w:pPr>
      <w:r>
        <w:rPr>
          <w:rFonts w:ascii="Times New Roman"/>
          <w:b w:val="false"/>
          <w:i w:val="false"/>
          <w:color w:val="000000"/>
          <w:sz w:val="28"/>
        </w:rPr>
        <w:t>
     i - доходность облигаций к погашению в соответствии с ценой сделки с этими облигациями, в процентах годовых;
</w:t>
      </w:r>
    </w:p>
    <w:p>
      <w:pPr>
        <w:spacing w:after="0"/>
        <w:ind w:left="0"/>
        <w:jc w:val="both"/>
      </w:pPr>
      <w:r>
        <w:rPr>
          <w:rFonts w:ascii="Times New Roman"/>
          <w:b w:val="false"/>
          <w:i w:val="false"/>
          <w:color w:val="000000"/>
          <w:sz w:val="28"/>
        </w:rPr>
        <w:t>
     V - объем сделки с облигациями, в деньгах;
</w:t>
      </w:r>
    </w:p>
    <w:p>
      <w:pPr>
        <w:spacing w:after="0"/>
        <w:ind w:left="0"/>
        <w:jc w:val="both"/>
      </w:pPr>
      <w:r>
        <w:rPr>
          <w:rFonts w:ascii="Times New Roman"/>
          <w:b w:val="false"/>
          <w:i w:val="false"/>
          <w:color w:val="000000"/>
          <w:sz w:val="28"/>
        </w:rPr>
        <w:t>
     n - количество сделок с облигациями, которые заключены на торгах, проведенных организатором торгов методом открытых торгов в течение последних тридцати полностью истекших календарных дней (в случае, если количество сделок с облигациями, заключенных в течение указанного периода, составляет менее пяти, n равно пяти при условии, что количество сделок с облигациями, которые заключены на торгах, проведенных организатором торгов методом открытых торгов в течение последних ста восьмидесяти полностью истекших календарных дней, составляет пять и более).
</w:t>
      </w:r>
    </w:p>
    <w:p>
      <w:pPr>
        <w:spacing w:after="0"/>
        <w:ind w:left="0"/>
        <w:jc w:val="both"/>
      </w:pPr>
      <w:r>
        <w:rPr>
          <w:rFonts w:ascii="Times New Roman"/>
          <w:b w:val="false"/>
          <w:i w:val="false"/>
          <w:color w:val="000000"/>
          <w:sz w:val="28"/>
        </w:rPr>
        <w:t>
</w:t>
      </w:r>
      <w:r>
        <w:rPr>
          <w:rFonts w:ascii="Times New Roman"/>
          <w:b w:val="false"/>
          <w:i w:val="false"/>
          <w:color w:val="000000"/>
          <w:sz w:val="28"/>
        </w:rPr>
        <w:t>
     5. Выявление сделок с ценными бумагами как заключенных с целью манипулирования ценами осуществляется уполномоченным органом на основании информации, которая содержится в:
</w:t>
      </w:r>
      <w:r>
        <w:br/>
      </w:r>
      <w:r>
        <w:rPr>
          <w:rFonts w:ascii="Times New Roman"/>
          <w:b w:val="false"/>
          <w:i w:val="false"/>
          <w:color w:val="000000"/>
          <w:sz w:val="28"/>
        </w:rPr>
        <w:t>
     отчетах организаторов торгов и профессиональных участников рынка ценных бумаг;
</w:t>
      </w:r>
      <w:r>
        <w:br/>
      </w:r>
      <w:r>
        <w:rPr>
          <w:rFonts w:ascii="Times New Roman"/>
          <w:b w:val="false"/>
          <w:i w:val="false"/>
          <w:color w:val="000000"/>
          <w:sz w:val="28"/>
        </w:rPr>
        <w:t>
     письмах (заявлениях, жалобах, обращениях) субъектов рынка ценных бумаг, государственных органов и иных физических и юридических лиц;
</w:t>
      </w:r>
      <w:r>
        <w:br/>
      </w:r>
      <w:r>
        <w:rPr>
          <w:rFonts w:ascii="Times New Roman"/>
          <w:b w:val="false"/>
          <w:i w:val="false"/>
          <w:color w:val="000000"/>
          <w:sz w:val="28"/>
        </w:rPr>
        <w:t>
     публикациях средств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6. В целях подтверждения факта манипулирования ценами уполномоченный орган запрашивает у субъектов рынка ценных бумаг предоставление необходимой информации либо, при необходимости, осуществляет инспекционную проверку субъектов рынка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7. Признание сделки с ценными бумагами как заключенной с целью манипулирования ценами оформляется решением первого руководителя уполномоченного государственного органа, осуществляющего регулирование и надзор финансового рынка и финансовых организаций (далее - уполномоченный орган), или его заместителя.
</w:t>
      </w:r>
      <w:r>
        <w:br/>
      </w:r>
      <w:r>
        <w:rPr>
          <w:rFonts w:ascii="Times New Roman"/>
          <w:b w:val="false"/>
          <w:i w:val="false"/>
          <w:color w:val="000000"/>
          <w:sz w:val="28"/>
        </w:rPr>
        <w:t>
     8. Уполномоченный орган письменно уведомляет стороны сделки с ценными бумагами, признанной как заключенной с целью манипулирования ценами, о таком признании в течение десяти рабочих дней со дня оформления решения, указанного в пункте 7 настоящих Правил.
</w:t>
      </w:r>
      <w:r>
        <w:br/>
      </w:r>
      <w:r>
        <w:rPr>
          <w:rFonts w:ascii="Times New Roman"/>
          <w:b w:val="false"/>
          <w:i w:val="false"/>
          <w:color w:val="000000"/>
          <w:sz w:val="28"/>
        </w:rPr>
        <w:t>
     9. Вопросы, порядок урегулирования которых не определен настоящими Правилами, подлежат разрешению в соответствии с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