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cc60" w14:textId="068c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банке-заемщике по реализации бюджетной программы 272.5 "Кредитование для развития малого предпринимательства на местном уровне"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27 апреля 2004 года N 96. Зарегистрировано Департаментом юстиции Атырауской области от 10 июня 2004 года N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августа 2003 года N 816 "О внесении изменений и дополнений в постановление Правительства Республики Казахстан от 25 июля 2002 года N 832 и признании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декабря 2001 года 1745", постановлением областного акимата от 11 марта 2004 года 68 "Об утверждении Правил предоставления бюджетных кредитов на кредитование для развития малого и среднего предпринимательства на местном уровне", согласно Протокола конкурсной комиссии 01/3 от 19 апреля 2004 года "Выбор банка-оператора для кредитования бизнес-проектов субъектов малого и среднего предпринимательства на местном уровне" акимат области 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банком-заемщиком по реализации бюджетной программы 272.5 "Кредитование для развития малого предпринимательства на местном уровне" - Атырауский филиал открытого акционерного общества "Казкоммерцбанк".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главному управлению экономики и поддержки предпринимательства Атырауской области подготовить проект кредитного договора с банком-заемщиком.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Супруна В.В. - первого заместителя акима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