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4ce" w14:textId="df10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ХХIV-й сессии Алматинского городского Маслихата II-го созыва от 27 февраля 2003 года "Об утверждении ставок ежемесячной платы за размещение наружной (визуальной) рекламы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III-го созыва от 29 июля 2004 года N 68. Зарегистрировано Департаментом юстиции города Алматы 6 августа 2004 года за N 613. Утратило силу решением Маслихата города Алматы от 22 декабря 2008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города Алматы от 22.12.2008 N 164.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Переутвердить решение внеочередной VII-й сессии Маслихата города Алматы III-го созыва от 10 июня 2004 года "О внесении изменений и дополнений в решение XХIV-й сессии Алматинского городского Маслихата II-го созыва от 27 февраля 2003 года "Об утверждении ставок ежемесячной платы за размещения наружной (визуальной) рекламы на территории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XХIV-й сессии Алматинского городского Маслихата II-го созыва от 27 февраля 2003 года "Об утверждении ставок ежемесячной платы за размещения наружной (визуальной) рекламы на территории города Алматы" изложить в следующей редакции,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подпунктом 1 пункта 1 статьи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профилактике и ограничении табакокурения" от 10 июля 2002 года пункты 1.1., 2.1., 3.1., 4.1., 5.1., 6.1., 7.1., 8.1. таблицы ставок в приложении и пункт 4 в примечании к приложению действуют до 1 октября 2004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экономике и бюджету (Шелипанов А.И.),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 А. Несипбаев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VIII-й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№ 68 III-го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созыва от 29 июля 2004 года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ХХIV-й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2003 года "Об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ежемесячной платы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города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к решению ХХIV-й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II-го созыва от 27 февраля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ежемесячной платы (за одну сторону) за размещение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наружной (визуальной) рекламы на территории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8"/>
        <w:gridCol w:w="1453"/>
        <w:gridCol w:w="1453"/>
        <w:gridCol w:w="1453"/>
        <w:gridCol w:w="1433"/>
      </w:tblGrid>
      <w:tr>
        <w:trPr>
          <w:trHeight w:val="90" w:hRule="atLeast"/>
        </w:trPr>
        <w:tc>
          <w:tcPr>
            <w:tcW w:w="7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рекламы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Ежемесячная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меча-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"В"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Указатели, вывески, информационные щиты площадью до 2 кв.м. (за объект)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Лайтбоксы (сити формата)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Рекламно-информационные объекты площадью от 2 до 5 кв.м.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Рекламно-информационные объекты площадью от 5 до 10 кв.м.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Рекламно-информационные объекты площадью от 10 до 20 кв.м.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Рекламно-информационные объекты площадью от 20 до 30 кв.м.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Рекламно-информационные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свыше 30 кв.м.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Реклама на киосках и павильонах временного типа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Реклама табака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  <w:tr>
        <w:trPr>
          <w:trHeight w:val="9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Реклама на внешней стороне транспортного средства (за единицу)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Автобусы, троллейбусы, трамваи, грузовые и т.д. (грузоподъемностью более 1,5 тонн).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  Микроавтобусы, такси, легковые автомобили (грузоподъемностью до 1,5 тонн).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 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 1. 
</w:t>
      </w:r>
      <w:r>
        <w:rPr>
          <w:rFonts w:ascii="Times New Roman"/>
          <w:b w:val="false"/>
          <w:i w:val="false"/>
          <w:color w:val="000000"/>
          <w:sz w:val="28"/>
        </w:rPr>
        <w:t>
Ставки платы исчисляются из размера действующего месячного расчетного показателя. 
</w:t>
      </w:r>
      <w:r>
        <w:rPr>
          <w:rFonts w:ascii="Times New Roman"/>
          <w:b/>
          <w:i w:val="false"/>
          <w:color w:val="000000"/>
          <w:sz w:val="28"/>
        </w:rPr>
        <w:t>
2. 
</w:t>
      </w:r>
      <w:r>
        <w:rPr>
          <w:rFonts w:ascii="Times New Roman"/>
          <w:b w:val="false"/>
          <w:i w:val="false"/>
          <w:color w:val="000000"/>
          <w:sz w:val="28"/>
        </w:rPr>
        <w:t>
Для бюджетных организаций и товаропроизводителей (отечественных и совместных производственных предприятий) ежемесячные ставки уменьшаются на 20%. 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 Не являются плательщиками платы государственные органы Республики Казахстан по объектам наружной (визуальной) рекламы размещаемой в связи с реализацией ими своих функций. 
</w:t>
      </w:r>
      <w:r>
        <w:rPr>
          <w:rFonts w:ascii="Times New Roman"/>
          <w:b/>
          <w:i w:val="false"/>
          <w:color w:val="000000"/>
          <w:sz w:val="28"/>
        </w:rPr>
        <w:t>
4. 
</w:t>
      </w:r>
      <w:r>
        <w:rPr>
          <w:rFonts w:ascii="Times New Roman"/>
          <w:b w:val="false"/>
          <w:i w:val="false"/>
          <w:color w:val="000000"/>
          <w:sz w:val="28"/>
        </w:rPr>
        <w:t>
Запрещается реклама табачных изделий на всех видах транспортных средств, на конструкциях и дорожных знаках ГАИ. 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Уплаченные суммы платы возврату не подлежат. 
</w:t>
      </w:r>
      <w:r>
        <w:rPr>
          <w:rFonts w:ascii="Times New Roman"/>
          <w:b/>
          <w:i w:val="false"/>
          <w:color w:val="000000"/>
          <w:sz w:val="28"/>
        </w:rPr>
        <w:t>
6. 
</w:t>
      </w:r>
      <w:r>
        <w:rPr>
          <w:rFonts w:ascii="Times New Roman"/>
          <w:b w:val="false"/>
          <w:i w:val="false"/>
          <w:color w:val="000000"/>
          <w:sz w:val="28"/>
        </w:rPr>
        <w:t>
Перечень основных площадей и магистралей города Алматы по категориям: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Категория "А": 
</w:t>
      </w:r>
      <w:r>
        <w:rPr>
          <w:rFonts w:ascii="Times New Roman"/>
          <w:b w:val="false"/>
          <w:i w:val="false"/>
          <w:color w:val="000000"/>
          <w:sz w:val="28"/>
        </w:rPr>
        <w:t>
пр. Абая, пр. Аль-Фараби, пр. Абылай хана, пр. Достык, ул. Фурманова, пл. Астана, пл. Республики, ул. Сатпаева, ул. Кунаева, пр. Суюнбая, пр. Саина, пр. Сейфуллина, ул. Хаджи Мукана, ул. Байтурсынова, трасса Достык-Аль-Фараби, ул. Алтынсарина, пр. Раимбека, пр. Рыскулова, ул. Желтоксан, ул. Гоголя, ул. Жибек Жолы, ул. Толе би, ул. Кабанбай батыра, ул. Макатаева, ул. Б. Майлина, ул. Утеген Батыра, пр. Гагарина, ул. Хмельницкого, Северное кольцо, аэропорт, авто и ж/д вокзалы, ул. Розыбакиева, ул. Ш.Калдаякова, ул. Наурызбай батыра, въезды и выезды в город, ул. Тимирязева, ул. Б. Момышулы, места спортивных мероприятий и культурно-массового отдыха, ул. Жандосова, ул. Масанчи, ул. Маметовой, ул. Курмангазы, ул. Т. Озала, ул. Жолдасбекова, бульвар им. Мендикулова, ул. Панфилова (ниже пр. Аль Фараби), ул. М. Ганди, ул. Ауэзова.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Категория "В": 
</w:t>
      </w:r>
      <w:r>
        <w:rPr>
          <w:rFonts w:ascii="Times New Roman"/>
          <w:b w:val="false"/>
          <w:i w:val="false"/>
          <w:color w:val="000000"/>
          <w:sz w:val="28"/>
        </w:rPr>
        <w:t>
ул. Богенбай батыра, ул. Маркова, ул. Шаляпина, ул. Манаса, ул. Тлендиева, ул. Навои, ул. Мустафина, ул. Шемякина, мкр-н "Алмагуль", мкр-н "Казахфильм", мкр-н "Айнабулак", ул. Байзакова, ул. Щепкина, ул. Жарокова, ул. Казыбек би, ул. Айтеке би, ул. Муканова, ул. Торайгырова, мкр-н "Орбита", ул. Панфилова, ул. Жансугурова, ул. Пушкина, ул. Айманова, ул. Жамбыла, ул. А. Шарипова, ул. Кожамкулова, ул. Карасай батыра, ул. Шевченко.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Категория "С": 
</w:t>
      </w:r>
      <w:r>
        <w:rPr>
          <w:rFonts w:ascii="Times New Roman"/>
          <w:b w:val="false"/>
          <w:i w:val="false"/>
          <w:color w:val="000000"/>
          <w:sz w:val="28"/>
        </w:rPr>
        <w:t>
все прочие магистрали, площади и улицы, не вошедшие в категории "А" и "В".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 А. Несипбаев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