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a5a4f" w14:textId="95a5a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XIII-й сессии Алматинского городского маслихата II-го созыва от 5 декабря 2001 года "Об утверждении ставок платежей"
(зарегистрировано в управлении юстиции г. Алматы 19 декабря 2001 года № 414).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Алматинского городского маслихата N 39 от 26 марта 2004 года. Зарегистрировано Департаментом юстиции города Алматы 2 апреля 2004 года за N 588. Утратило силу решением маслихата города Алматы от 18 ноября 2005 года N 194 (V05R681)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 статьей 394 
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"О налогах и других обязательных платежах в бюджет" маслихат города Алматы III-го созыва 
</w:t>
      </w:r>
      <w:r>
        <w:rPr>
          <w:rFonts w:ascii="Times New Roman"/>
          <w:b/>
          <w:i w:val="false"/>
          <w:color w:val="000000"/>
          <w:sz w:val="28"/>
        </w:rPr>
        <w:t>
РЕШИЛ: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следующие изменения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 </w:t>
      </w:r>
      <w:r>
        <w:rPr>
          <w:rFonts w:ascii="Times New Roman"/>
          <w:b w:val="false"/>
          <w:i w:val="false"/>
          <w:color w:val="000000"/>
          <w:sz w:val="28"/>
        </w:rPr>
        <w:t>
 XIII-й сессии Алматинского городского маслихата II-го созыва от 5 декабря 2001 года "Об утверждении ставок платежей":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приложение N 2 изложить в следующей редакции, прилагается.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 решение IV-й сессии маслихата города Алматы III-го созыва от 24 декабря 2003 года N 21 "О внесении изменений и дополнений в решение XIII-й сессии Алматинского городского маслихата II-го созыва от 5 декабря 2001 года "Об утверждении ставок платежей".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по экономике и бюджету (Шелипанов А.И.), председателя Налогового комитета по городу Алматы Баедилова К.Е.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Председатель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внеочередной V-й сессии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маслихата города Алматы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III-го созыва                                            А. Карапетян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Секретарь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маслихата города Алматы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III-го созыва                                            Т. Мукашев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  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внеочередной V-й сессии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города Алматы III-го созыва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марта 2004 г.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"Приложение N 2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XIII-й сессии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Алматинского городского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II-го созыва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5 декабря 2001 г.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 Ставки фиксированного суммарного налога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33"/>
        <w:gridCol w:w="6273"/>
      </w:tblGrid>
      <w:tr>
        <w:trPr>
          <w:trHeight w:val="990" w:hRule="atLeast"/>
        </w:trPr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 объектов обложения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Ставки фиксированного суммарного налога в месячных расчетных показателях в год
</w:t>
            </w:r>
          </w:p>
        </w:tc>
      </w:tr>
      <w:tr>
        <w:trPr>
          <w:trHeight w:val="90" w:hRule="atLeast"/>
        </w:trPr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Игровой стол,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которых игорное заведение участвует через своих представителей как сторона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
</w:t>
            </w:r>
          </w:p>
        </w:tc>
      </w:tr>
      <w:tr>
        <w:trPr>
          <w:trHeight w:val="90" w:hRule="atLeast"/>
        </w:trPr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которых игорное заведение участвует через своих представителей как  организатор и(или) наблюдатель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
</w:t>
            </w:r>
          </w:p>
        </w:tc>
      </w:tr>
      <w:tr>
        <w:trPr>
          <w:trHeight w:val="90" w:hRule="atLeast"/>
        </w:trPr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Игровой автомат с денежным выигрышем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
</w:t>
            </w:r>
          </w:p>
        </w:tc>
      </w:tr>
      <w:tr>
        <w:trPr>
          <w:trHeight w:val="90" w:hRule="atLeast"/>
        </w:trPr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Касса тотализатора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
</w:t>
            </w:r>
          </w:p>
        </w:tc>
      </w:tr>
      <w:tr>
        <w:trPr>
          <w:trHeight w:val="90" w:hRule="atLeast"/>
        </w:trPr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Касса букмекерской конторы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
</w:t>
            </w:r>
          </w:p>
        </w:tc>
      </w:tr>
      <w:tr>
        <w:trPr>
          <w:trHeight w:val="90" w:hRule="atLeast"/>
        </w:trPr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Игровой автомат без денежного выигрыша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
</w:t>
            </w:r>
          </w:p>
        </w:tc>
      </w:tr>
      <w:tr>
        <w:trPr>
          <w:trHeight w:val="810" w:hRule="atLeast"/>
        </w:trPr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Игровая дорожка по боулингу (кегельбану)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
</w:t>
            </w:r>
          </w:p>
        </w:tc>
      </w:tr>
      <w:tr>
        <w:trPr>
          <w:trHeight w:val="90" w:hRule="atLeast"/>
        </w:trPr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
</w:t>
            </w:r>
          </w:p>
        </w:tc>
      </w:tr>
      <w:tr>
        <w:trPr>
          <w:trHeight w:val="90" w:hRule="atLeast"/>
        </w:trPr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Бильярдный стол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
</w:t>
            </w:r>
          </w:p>
        </w:tc>
      </w:tr>
      <w:tr>
        <w:trPr>
          <w:trHeight w:val="90" w:hRule="atLeast"/>
        </w:trPr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Организатор лото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Месячный расчетный показатель - устанавливается в соответствии с Законом РК "О республиканском бюджете".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Председатель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внеочередной V-й сессии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маслихата города Алматы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III-го созыва                                           А. Карапетян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Секретарь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маслихата города Алматы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III-го созыва                                           Т. Мукашев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