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02c6" w14:textId="4e40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лесные 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 сессии Карагандинского областного Маслихата от 11 декабря 2004 года N 146. Зарегистрировано Департаментом юстиции Карагандинской области 22 декабря 2004 года за N 1664. Утратило силу решением Карагандинского областного маслихата от 12 декабря 2016 года № 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12.12.2016 № 138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п.п.2 п.1 ст.6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Казахстан", п.1 статьи 473 Кодекса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 (Налоговый кодекс)", п.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п.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88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N 477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ставки платы на заготовку второстепенных древесных ресурсов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ставки платы на побочные лесные пользования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ставки платы на побочные лесные пользования (заготовка и сбор лекарственных растений)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ставки платы за иные виды лесопользования на участках государственного лесного фонда (приложение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III сессии областного Маслихата от 25 декабря 2003 года N 34 "О ставках платы за лесные пользования" (Регистрационный N 1380 от 21 января 2004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данного Решения возложить на постоянную комиссию по промышленности, строительству, транспорту, коммунальному хозяйству, аграрным вопросам и экологии (Усатов Н.Е.).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16"/>
        <w:gridCol w:w="4684"/>
      </w:tblGrid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146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на заготовку второстепенных древесных ресурсов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6528"/>
        <w:gridCol w:w="726"/>
        <w:gridCol w:w="2747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п.п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 корзиночный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скл.кбм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Прут акации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скл.кбм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 плетневый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скл.кбм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Кустарник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скл.кбм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Лапка сосновая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березовых веников в местах проведения рубок ухода диаметром 4-5 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146 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на побочные лесные пользования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1"/>
        <w:gridCol w:w="448"/>
        <w:gridCol w:w="3841"/>
      </w:tblGrid>
      <w:tr>
        <w:trPr>
          <w:trHeight w:val="30" w:hRule="atLeast"/>
        </w:trPr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единицу,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Сенокосные угодья: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урожайность до 2 ц/га;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урожайность от 2 ц/га до 5 ц/га;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Пастбищные угодья: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хорошего качества;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качества;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плохого качества;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Установка пчелосемей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пчелосемья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Огородничество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Бахчеводство и выращивание иных сельскохозяйственных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Сбор грибов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Сбор ягод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зависимости от удаленности сенокосных участков от пунктов потребления продукции к установленной ставке применяются следующие коэффициенты: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 10 км 1,5;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10 км до 25 км 1,2;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25,1 км до 40 км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40,1 км до 60 км 0,8;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60,1 км до 80 км 0,6;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более 80 км 0,2.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 участках с ручной косьбой и закустаренных более 20 </w:t>
      </w:r>
      <w:r>
        <w:rPr>
          <w:rFonts w:ascii="Times New Roman"/>
          <w:b w:val="false"/>
          <w:i/>
          <w:color w:val="000000"/>
          <w:sz w:val="28"/>
        </w:rPr>
        <w:t xml:space="preserve">%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плата за пользование сенокосными участками снижается на 20 </w:t>
      </w:r>
      <w:r>
        <w:rPr>
          <w:rFonts w:ascii="Times New Roman"/>
          <w:b w:val="false"/>
          <w:i/>
          <w:color w:val="000000"/>
          <w:sz w:val="28"/>
        </w:rPr>
        <w:t xml:space="preserve">%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Физические лица имеют право на бесплатное без разрешительных документов пребывание на территории государственного лесного фонда в целях проведения отдыха, участия культурно-оздоровительных, рекреационных, туристических и спортивных мероприятиях, сбора для собственных нужд дикорастущих плодов, грибов, ягод, лекарственного сырья и иных лесных ресурсов (кроме участков государственного лесного фонда на особо охраняемых природных территориях со статусом юридического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Сбор физическими лицами на территории государственного лесного фонда для собственных нужд дикорастущих плодов, ягод, лекарственного сырья и иных лесных ресурсов разрешается в пределах следующих установленных норм: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Дикорастущие растения и лекарственное сырье - 1 кг 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Грибы - 5 кг в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Ягоды - 5 кг в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146 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на побочные лесные пользования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(заготовка и сбор лекарственных растений)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2"/>
        <w:gridCol w:w="4626"/>
        <w:gridCol w:w="540"/>
        <w:gridCol w:w="3262"/>
      </w:tblGrid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п.п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Мумие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Василистник малый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Горец перечный (водяной перец)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Горец птичий (спорыш)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Зизифора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Чабрец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Кипрей узколистный (Иван-Чай)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Крапива двудомная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Кровохлебка аптечная (корень)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Лабазник вязолистный (таволга)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Пастушья сумка (обыкновенная)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Подорожник большой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Полынь горькая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лесная (побеги)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Тысячелистник обыкновенный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Хвощ полевой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Череда трехраздельная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Шиповник высоковитаминный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Шиповник низковитаминный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Чистотел большой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Хмель обыкновенный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Корректировку ставки платы по урожаю и концентрации сырья (выход с единицы площади) проводить по 5-бальной шкале со следующими коэффициентами: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 балл - 0,6; 4 балла - 1,2;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 балла - 0,8; 5 баллов - 1,4.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 балла - 1,0;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Для корректировки платы в зависимости от концентрации (полноты) сырья и доли участия неплодоносящих растений применяются следующие понижающие коэффициенты: количество плодоносящих растений в процентах от общего количества: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0 - 19 </w:t>
      </w:r>
      <w:r>
        <w:rPr>
          <w:rFonts w:ascii="Times New Roman"/>
          <w:b w:val="false"/>
          <w:i/>
          <w:color w:val="000000"/>
          <w:sz w:val="28"/>
        </w:rPr>
        <w:t xml:space="preserve">% </w:t>
      </w:r>
      <w:r>
        <w:rPr>
          <w:rFonts w:ascii="Times New Roman"/>
          <w:b w:val="false"/>
          <w:i w:val="false"/>
          <w:color w:val="000000"/>
          <w:sz w:val="28"/>
        </w:rPr>
        <w:t xml:space="preserve">- 0,4; 60 - 79 </w:t>
      </w:r>
      <w:r>
        <w:rPr>
          <w:rFonts w:ascii="Times New Roman"/>
          <w:b w:val="false"/>
          <w:i/>
          <w:color w:val="000000"/>
          <w:sz w:val="28"/>
        </w:rPr>
        <w:t xml:space="preserve">% </w:t>
      </w:r>
      <w:r>
        <w:rPr>
          <w:rFonts w:ascii="Times New Roman"/>
          <w:b w:val="false"/>
          <w:i w:val="false"/>
          <w:color w:val="000000"/>
          <w:sz w:val="28"/>
        </w:rPr>
        <w:t xml:space="preserve">- 0,9;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20 - 39 </w:t>
      </w:r>
      <w:r>
        <w:rPr>
          <w:rFonts w:ascii="Times New Roman"/>
          <w:b w:val="false"/>
          <w:i/>
          <w:color w:val="000000"/>
          <w:sz w:val="28"/>
        </w:rPr>
        <w:t xml:space="preserve">% </w:t>
      </w:r>
      <w:r>
        <w:rPr>
          <w:rFonts w:ascii="Times New Roman"/>
          <w:b w:val="false"/>
          <w:i w:val="false"/>
          <w:color w:val="000000"/>
          <w:sz w:val="28"/>
        </w:rPr>
        <w:t xml:space="preserve">- 0,6; 80 - 100 </w:t>
      </w:r>
      <w:r>
        <w:rPr>
          <w:rFonts w:ascii="Times New Roman"/>
          <w:b w:val="false"/>
          <w:i/>
          <w:color w:val="000000"/>
          <w:sz w:val="28"/>
        </w:rPr>
        <w:t xml:space="preserve">% </w:t>
      </w:r>
      <w:r>
        <w:rPr>
          <w:rFonts w:ascii="Times New Roman"/>
          <w:b w:val="false"/>
          <w:i w:val="false"/>
          <w:color w:val="000000"/>
          <w:sz w:val="28"/>
        </w:rPr>
        <w:t xml:space="preserve">- 1,0.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40 - 59 </w:t>
      </w:r>
      <w:r>
        <w:rPr>
          <w:rFonts w:ascii="Times New Roman"/>
          <w:b w:val="false"/>
          <w:i/>
          <w:color w:val="000000"/>
          <w:sz w:val="28"/>
        </w:rPr>
        <w:t xml:space="preserve">% </w:t>
      </w:r>
      <w:r>
        <w:rPr>
          <w:rFonts w:ascii="Times New Roman"/>
          <w:b w:val="false"/>
          <w:i w:val="false"/>
          <w:color w:val="000000"/>
          <w:sz w:val="28"/>
        </w:rPr>
        <w:t xml:space="preserve">- 0,8;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146 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иные виды лесопользования</w:t>
      </w:r>
      <w:r>
        <w:br/>
      </w:r>
      <w:r>
        <w:rPr>
          <w:rFonts w:ascii="Times New Roman"/>
          <w:b/>
          <w:i w:val="false"/>
          <w:color w:val="000000"/>
        </w:rPr>
        <w:t>на участках государственного лесного фонда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6"/>
        <w:gridCol w:w="1475"/>
        <w:gridCol w:w="4619"/>
      </w:tblGrid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Пользование участками государственного лесного фонда для нужд охотничьего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Пользование участками государственного лесного фонда для научно-исследовательских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Пользование участками государственного лесного фонда для культурно-оздоровительных,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рекреационных, туристических и спортивных целей.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