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402c6" w14:textId="4e402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ставках платы за лесные пользования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 сессии Карагандинского областного Маслихата от 11 декабря 2004 года N 146. Зарегистрировано Департаментом юстиции Карагандинской области 22 декабря 2004 года за N 1664. Утратило силу решением Карагандинского областного маслихата от 12 декабря 2016 года № 138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Карагандинского областного маслихата от 12.12.2016 № 138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п.п.2 п.1 ст.6 Закона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148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местном государственном управлении в Республике Казахстан", п.1 статьи 473 Кодекса Республики Казахстан от 12 июня 2001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209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налогах и других обязательных платежах в бюджет (Налоговый кодекс)", п. 3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14 </w:t>
      </w:r>
      <w:r>
        <w:rPr>
          <w:rFonts w:ascii="Times New Roman"/>
          <w:b w:val="false"/>
          <w:i w:val="false"/>
          <w:color w:val="000000"/>
          <w:sz w:val="28"/>
        </w:rPr>
        <w:t xml:space="preserve">и п. 4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88 </w:t>
      </w:r>
      <w:r>
        <w:rPr>
          <w:rFonts w:ascii="Times New Roman"/>
          <w:b w:val="false"/>
          <w:i w:val="false"/>
          <w:color w:val="000000"/>
          <w:sz w:val="28"/>
        </w:rPr>
        <w:t xml:space="preserve">Лесного кодекса Республики Казахстан от 8 июля 2003 года N 477 областной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ставки платы на заготовку второстепенных древесных ресурсов (приложение 1);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ставки платы на побочные лесные пользования (приложение 2);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ставки платы на побочные лесные пользования (заготовка и сбор лекарственных растений) (приложение 3);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ставки платы за иные виды лесопользования на участках государственного лесного фонда (приложение 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Решение III сессии областного Маслихата от 25 декабря 2003 года N 34 "О ставках платы за лесные пользования" (Регистрационный N 1380 от 21 января 2004 года)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Контроль за исполнением данного Решения возложить на постоянную комиссию по промышленности, строительству, транспорту, коммунальному хозяйству, аграрным вопросам и экологии (Усатов Н.Е.).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616"/>
        <w:gridCol w:w="4684"/>
      </w:tblGrid>
      <w:tr>
        <w:trPr>
          <w:trHeight w:val="30" w:hRule="atLeast"/>
        </w:trPr>
        <w:tc>
          <w:tcPr>
            <w:tcW w:w="76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Секретарь 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Х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2004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146 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</w:t>
      </w:r>
      <w:r>
        <w:br/>
      </w:r>
      <w:r>
        <w:rPr>
          <w:rFonts w:ascii="Times New Roman"/>
          <w:b/>
          <w:i w:val="false"/>
          <w:color w:val="000000"/>
        </w:rPr>
        <w:t>на заготовку второстепенных древесных ресурсов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99"/>
        <w:gridCol w:w="6528"/>
        <w:gridCol w:w="726"/>
        <w:gridCol w:w="2747"/>
      </w:tblGrid>
      <w:tr>
        <w:trPr>
          <w:trHeight w:val="30" w:hRule="atLeast"/>
        </w:trPr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п.п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 корзиночный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скл.кбм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Прут акации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скл.кбм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 плетневый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скл.кбм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Кустарник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скл.кбм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Лапка сосновая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Заготовка березовых веников в местах проведения рубок ухода диаметром 4-5 см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Х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2004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146 </w:t>
            </w:r>
          </w:p>
        </w:tc>
      </w:tr>
    </w:tbl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</w:t>
      </w:r>
      <w:r>
        <w:br/>
      </w:r>
      <w:r>
        <w:rPr>
          <w:rFonts w:ascii="Times New Roman"/>
          <w:b/>
          <w:i w:val="false"/>
          <w:color w:val="000000"/>
        </w:rPr>
        <w:t>на побочные лесные пользования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11"/>
        <w:gridCol w:w="448"/>
        <w:gridCol w:w="3841"/>
      </w:tblGrid>
      <w:tr>
        <w:trPr>
          <w:trHeight w:val="30" w:hRule="atLeast"/>
        </w:trPr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единицу,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Сенокосные угодья: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урожайность до 2 ц/га;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урожайность от 2 ц/га до 5 ц/га;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Пастбищные угодья: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хорошего качества;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среднего качества;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плохого качества;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Установка пчелосемей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пчелосемья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Огородничество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Бахчеводство и выращивание иных сельскохозяйственных культур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Сбор грибов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Сбор ягод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 зависимости от удаленности сенокосных участков от пунктов потребления продукции к установленной ставке применяются следующие коэффициенты: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до 10 км 1,5;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от 10 км до 25 км 1,2;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от 25,1 км до 40 км 1,0;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от 40,1 км до 60 км 0,8;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от 60,1 км до 80 км 0,6;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более 80 км 0,2.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 участках с ручной косьбой и закустаренных более 20 </w:t>
      </w:r>
      <w:r>
        <w:rPr>
          <w:rFonts w:ascii="Times New Roman"/>
          <w:b w:val="false"/>
          <w:i/>
          <w:color w:val="000000"/>
          <w:sz w:val="28"/>
        </w:rPr>
        <w:t xml:space="preserve">% </w:t>
      </w:r>
      <w:r>
        <w:rPr>
          <w:rFonts w:ascii="Times New Roman"/>
          <w:b w:val="false"/>
          <w:i w:val="false"/>
          <w:color w:val="000000"/>
          <w:sz w:val="28"/>
        </w:rPr>
        <w:t xml:space="preserve">плата за пользование сенокосными участками снижается на 20 </w:t>
      </w:r>
      <w:r>
        <w:rPr>
          <w:rFonts w:ascii="Times New Roman"/>
          <w:b w:val="false"/>
          <w:i/>
          <w:color w:val="000000"/>
          <w:sz w:val="28"/>
        </w:rPr>
        <w:t xml:space="preserve">%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Физические лица имеют право на бесплатное без разрешительных документов пребывание на территории государственного лесного фонда в целях проведения отдыха, участия культурно-оздоровительных, рекреационных, туристических и спортивных мероприятиях, сбора для собственных нужд дикорастущих плодов, грибов, ягод, лекарственного сырья и иных лесных ресурсов (кроме участков государственного лесного фонда на особо охраняемых природных территориях со статусом юридического лица).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Сбор физическими лицами на территории государственного лесного фонда для собственных нужд дикорастущих плодов, ягод, лекарственного сырья и иных лесных ресурсов разрешается в пределах следующих установленных норм: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Дикорастущие растения и лекарственное сырье - 1 кг </w:t>
      </w:r>
      <w:r>
        <w:rPr>
          <w:rFonts w:ascii="Times New Roman"/>
          <w:b w:val="false"/>
          <w:i/>
          <w:color w:val="000000"/>
          <w:sz w:val="28"/>
        </w:rPr>
        <w:t>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Грибы - 5 кг в день;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Ягоды - 5 кг в день.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Х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2004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146 </w:t>
            </w:r>
          </w:p>
        </w:tc>
      </w:tr>
    </w:tbl>
    <w:bookmarkStart w:name="z1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</w:t>
      </w:r>
      <w:r>
        <w:br/>
      </w:r>
      <w:r>
        <w:rPr>
          <w:rFonts w:ascii="Times New Roman"/>
          <w:b/>
          <w:i w:val="false"/>
          <w:color w:val="000000"/>
        </w:rPr>
        <w:t>на побочные лесные пользования</w:t>
      </w:r>
      <w:r>
        <w:br/>
      </w:r>
      <w:r>
        <w:rPr>
          <w:rFonts w:ascii="Times New Roman"/>
          <w:b/>
          <w:i w:val="false"/>
          <w:color w:val="000000"/>
        </w:rPr>
        <w:t xml:space="preserve">(заготовка и сбор лекарственных растений) 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72"/>
        <w:gridCol w:w="4626"/>
        <w:gridCol w:w="540"/>
        <w:gridCol w:w="3262"/>
      </w:tblGrid>
      <w:tr>
        <w:trPr>
          <w:trHeight w:val="30" w:hRule="atLeast"/>
        </w:trPr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п.п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Мумие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Василистник малый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Горец перечный (водяной перец)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Горец птичий (спорыш)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Зизифора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Чабрец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Кипрей узколистный (Иван-Чай)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Крапива двудомная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Кровохлебка аптечная (корень)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Лабазник вязолистный (таволга)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Пастушья сумка (обыкновенная)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Подорожник большой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Полынь горькая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Сосна лесная (побеги)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Тысячелистник обыкновенный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Хвощ полевой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Череда трехраздельная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Шиповник высоковитаминный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Шиповник низковитаминный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Чистотел большой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Хмель обыкновенный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Корректировку ставки платы по урожаю и концентрации сырья (выход с единицы площади) проводить по 5-бальной шкале со следующими коэффициентами: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 балл - 0,6; 4 балла - 1,2;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 балла - 0,8; 5 баллов - 1,4.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 балла - 1,0;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Для корректировки платы в зависимости от концентрации (полноты) сырья и доли участия неплодоносящих растений применяются следующие понижающие коэффициенты: количество плодоносящих растений в процентах от общего количества: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0 - 19 </w:t>
      </w:r>
      <w:r>
        <w:rPr>
          <w:rFonts w:ascii="Times New Roman"/>
          <w:b w:val="false"/>
          <w:i/>
          <w:color w:val="000000"/>
          <w:sz w:val="28"/>
        </w:rPr>
        <w:t xml:space="preserve">% </w:t>
      </w:r>
      <w:r>
        <w:rPr>
          <w:rFonts w:ascii="Times New Roman"/>
          <w:b w:val="false"/>
          <w:i w:val="false"/>
          <w:color w:val="000000"/>
          <w:sz w:val="28"/>
        </w:rPr>
        <w:t xml:space="preserve">- 0,4; 60 - 79 </w:t>
      </w:r>
      <w:r>
        <w:rPr>
          <w:rFonts w:ascii="Times New Roman"/>
          <w:b w:val="false"/>
          <w:i/>
          <w:color w:val="000000"/>
          <w:sz w:val="28"/>
        </w:rPr>
        <w:t xml:space="preserve">% </w:t>
      </w:r>
      <w:r>
        <w:rPr>
          <w:rFonts w:ascii="Times New Roman"/>
          <w:b w:val="false"/>
          <w:i w:val="false"/>
          <w:color w:val="000000"/>
          <w:sz w:val="28"/>
        </w:rPr>
        <w:t xml:space="preserve">- 0,9;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20 - 39 </w:t>
      </w:r>
      <w:r>
        <w:rPr>
          <w:rFonts w:ascii="Times New Roman"/>
          <w:b w:val="false"/>
          <w:i/>
          <w:color w:val="000000"/>
          <w:sz w:val="28"/>
        </w:rPr>
        <w:t xml:space="preserve">% </w:t>
      </w:r>
      <w:r>
        <w:rPr>
          <w:rFonts w:ascii="Times New Roman"/>
          <w:b w:val="false"/>
          <w:i w:val="false"/>
          <w:color w:val="000000"/>
          <w:sz w:val="28"/>
        </w:rPr>
        <w:t xml:space="preserve">- 0,6; 80 - 100 </w:t>
      </w:r>
      <w:r>
        <w:rPr>
          <w:rFonts w:ascii="Times New Roman"/>
          <w:b w:val="false"/>
          <w:i/>
          <w:color w:val="000000"/>
          <w:sz w:val="28"/>
        </w:rPr>
        <w:t xml:space="preserve">% </w:t>
      </w:r>
      <w:r>
        <w:rPr>
          <w:rFonts w:ascii="Times New Roman"/>
          <w:b w:val="false"/>
          <w:i w:val="false"/>
          <w:color w:val="000000"/>
          <w:sz w:val="28"/>
        </w:rPr>
        <w:t xml:space="preserve">- 1,0.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40 - 59 </w:t>
      </w:r>
      <w:r>
        <w:rPr>
          <w:rFonts w:ascii="Times New Roman"/>
          <w:b w:val="false"/>
          <w:i/>
          <w:color w:val="000000"/>
          <w:sz w:val="28"/>
        </w:rPr>
        <w:t xml:space="preserve">% </w:t>
      </w:r>
      <w:r>
        <w:rPr>
          <w:rFonts w:ascii="Times New Roman"/>
          <w:b w:val="false"/>
          <w:i w:val="false"/>
          <w:color w:val="000000"/>
          <w:sz w:val="28"/>
        </w:rPr>
        <w:t xml:space="preserve">- 0,8;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Х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2004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146 </w:t>
            </w:r>
          </w:p>
        </w:tc>
      </w:tr>
    </w:tbl>
    <w:bookmarkStart w:name="z2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иные виды лесопользования</w:t>
      </w:r>
      <w:r>
        <w:br/>
      </w:r>
      <w:r>
        <w:rPr>
          <w:rFonts w:ascii="Times New Roman"/>
          <w:b/>
          <w:i w:val="false"/>
          <w:color w:val="000000"/>
        </w:rPr>
        <w:t>на участках государственного лесного фонда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06"/>
        <w:gridCol w:w="1475"/>
        <w:gridCol w:w="4619"/>
      </w:tblGrid>
      <w:tr>
        <w:trPr>
          <w:trHeight w:val="30" w:hRule="atLeast"/>
        </w:trPr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(тенге)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Пользование участками государственного лесного фонда для нужд охотничьего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00,00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Пользование участками государственного лесного фонда для научно-исследовательских целей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человеко- 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Пользование участками государственного лесного фонда для культурно-оздоровительных,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рекреационных, туристических и спортивных целей.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человеко- 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