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7140b" w14:textId="7471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организации и осуществлении сбора налогов и других обязательных платежей в бюджет аппаратами акимов поселков, сельских округов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Акмолинской области от 8 августа 2004 года N а-7/143. Зарегистрировано Департаментом юстиции Акмолинской области 12 августа 2004 года за N 2746. Утратило силу постановлением  Акимата Акмолинской области от 2 апреля 2009 года № А-4/164</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Утратило силу постановлением  Акимата Акмолинской области от 2 апреля 2009 года № А-4/164.</w:t>
      </w:r>
      <w:r>
        <w:br/>
      </w:r>
      <w:r>
        <w:rPr>
          <w:rFonts w:ascii="Times New Roman"/>
          <w:b w:val="false"/>
          <w:i w:val="false"/>
          <w:color w:val="000000"/>
          <w:sz w:val="28"/>
        </w:rPr>
        <w:t xml:space="preserve">
      В целях реализации статьи 21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от 12 июня 2001 года за N 209,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23 января 2001 года N 148 "О местном государственном управлении в Республике Казахстан" акимат области ПОСТАНОВЛЯЕТ: </w:t>
      </w:r>
      <w:r>
        <w:br/>
      </w:r>
      <w:r>
        <w:rPr>
          <w:rFonts w:ascii="Times New Roman"/>
          <w:b w:val="false"/>
          <w:i w:val="false"/>
          <w:color w:val="000000"/>
          <w:sz w:val="28"/>
        </w:rPr>
        <w:t xml:space="preserve">
      1 </w:t>
      </w:r>
      <w:r>
        <w:rPr>
          <w:rFonts w:ascii="Times New Roman"/>
          <w:b/>
          <w:i w:val="false"/>
          <w:color w:val="000000"/>
          <w:sz w:val="28"/>
        </w:rPr>
        <w:t xml:space="preserve">. </w:t>
      </w:r>
      <w:r>
        <w:rPr>
          <w:rFonts w:ascii="Times New Roman"/>
          <w:b w:val="false"/>
          <w:i w:val="false"/>
          <w:color w:val="000000"/>
          <w:sz w:val="28"/>
        </w:rPr>
        <w:t>Утвердить прилагаемые "Правила об организации и осуществлении сбора налогов и других обязательных платежей в бюджет аппаратами акимов поселков, сельских округов" (далее-Правила).</w:t>
      </w:r>
      <w:r>
        <w:br/>
      </w:r>
      <w:r>
        <w:rPr>
          <w:rFonts w:ascii="Times New Roman"/>
          <w:b w:val="false"/>
          <w:i w:val="false"/>
          <w:color w:val="000000"/>
          <w:sz w:val="28"/>
        </w:rPr>
        <w:t>
      2. Налоговому комитету по Акмолинской области (по согласованию) совместно с Акмолинским областным финансовым управлением разработать к Правилам методические указания организации и осуществления сбора налогов и других обязательных платежей в бюджет аппаратами акимов поселков, сельских округов.</w:t>
      </w:r>
      <w:r>
        <w:br/>
      </w:r>
      <w:r>
        <w:rPr>
          <w:rFonts w:ascii="Times New Roman"/>
          <w:b w:val="false"/>
          <w:i w:val="false"/>
          <w:color w:val="000000"/>
          <w:sz w:val="28"/>
        </w:rPr>
        <w:t>
      3. Акимам районов, городов Кокшетау и Степногорска - совместно с Республиканским государственным предприятием "Центр по недвижимости по Акмолинской области" (по согласованию), Налоговым комитетом по Акмолинской области (по согласованию), Акмолинским областным комитетом по управлению земельными ресурсами (по согласованию), Управлением дорожной полиции Главного управления внутренних дел (по согласованию), организовать работу по обеспечению исполнения уплаты в бюджет недоимки за истекшие и текущие периоды по имущественному, земельному и транспортному налогам, руководствуясь вышеуказанными Правилами.</w:t>
      </w:r>
      <w:r>
        <w:br/>
      </w:r>
      <w:r>
        <w:rPr>
          <w:rFonts w:ascii="Times New Roman"/>
          <w:b w:val="false"/>
          <w:i w:val="false"/>
          <w:color w:val="000000"/>
          <w:sz w:val="28"/>
        </w:rPr>
        <w:t>
      4. Контроль за исполнением настоящего постановления акимата области возложить на заместителя акима области Наймушину О.В.</w:t>
      </w:r>
      <w:r>
        <w:br/>
      </w:r>
      <w:r>
        <w:rPr>
          <w:rFonts w:ascii="Times New Roman"/>
          <w:b w:val="false"/>
          <w:i w:val="false"/>
          <w:color w:val="000000"/>
          <w:sz w:val="28"/>
        </w:rPr>
        <w:t>
      5. Настоящее постановление акимата области вступает в силу после государственной регистрации в Департаменте юстиции Акмолинской области и подлежит опубликованию.</w:t>
      </w:r>
    </w:p>
    <w:p>
      <w:pPr>
        <w:spacing w:after="0"/>
        <w:ind w:left="0"/>
        <w:jc w:val="both"/>
      </w:pPr>
      <w:r>
        <w:rPr>
          <w:rFonts w:ascii="Times New Roman"/>
          <w:b w:val="false"/>
          <w:i w:val="false"/>
          <w:color w:val="000000"/>
          <w:sz w:val="28"/>
        </w:rPr>
        <w:t>      </w:t>
      </w:r>
      <w:r>
        <w:rPr>
          <w:rFonts w:ascii="Times New Roman"/>
          <w:b w:val="false"/>
          <w:i/>
          <w:color w:val="000000"/>
          <w:sz w:val="28"/>
        </w:rPr>
        <w:t>Аким области</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Постановлением Акимата</w:t>
      </w:r>
      <w:r>
        <w:br/>
      </w:r>
      <w:r>
        <w:rPr>
          <w:rFonts w:ascii="Times New Roman"/>
          <w:b w:val="false"/>
          <w:i w:val="false"/>
          <w:color w:val="000000"/>
          <w:sz w:val="28"/>
        </w:rPr>
        <w:t>
Акмолинской области от</w:t>
      </w:r>
      <w:r>
        <w:br/>
      </w:r>
      <w:r>
        <w:rPr>
          <w:rFonts w:ascii="Times New Roman"/>
          <w:b w:val="false"/>
          <w:i w:val="false"/>
          <w:color w:val="000000"/>
          <w:sz w:val="28"/>
        </w:rPr>
        <w:t>
08.07.2004 г. N а-7/143</w:t>
      </w:r>
      <w:r>
        <w:br/>
      </w:r>
      <w:r>
        <w:rPr>
          <w:rFonts w:ascii="Times New Roman"/>
          <w:b w:val="false"/>
          <w:i w:val="false"/>
          <w:color w:val="000000"/>
          <w:sz w:val="28"/>
        </w:rPr>
        <w:t>
"Об организации и осуществлении</w:t>
      </w:r>
      <w:r>
        <w:br/>
      </w:r>
      <w:r>
        <w:rPr>
          <w:rFonts w:ascii="Times New Roman"/>
          <w:b w:val="false"/>
          <w:i w:val="false"/>
          <w:color w:val="000000"/>
          <w:sz w:val="28"/>
        </w:rPr>
        <w:t>
сбора налогов и других</w:t>
      </w:r>
      <w:r>
        <w:br/>
      </w:r>
      <w:r>
        <w:rPr>
          <w:rFonts w:ascii="Times New Roman"/>
          <w:b w:val="false"/>
          <w:i w:val="false"/>
          <w:color w:val="000000"/>
          <w:sz w:val="28"/>
        </w:rPr>
        <w:t>
обязательных платежей в бюджет</w:t>
      </w:r>
      <w:r>
        <w:br/>
      </w:r>
      <w:r>
        <w:rPr>
          <w:rFonts w:ascii="Times New Roman"/>
          <w:b w:val="false"/>
          <w:i w:val="false"/>
          <w:color w:val="000000"/>
          <w:sz w:val="28"/>
        </w:rPr>
        <w:t>
аппаратами акимов поселков,</w:t>
      </w:r>
      <w:r>
        <w:br/>
      </w:r>
      <w:r>
        <w:rPr>
          <w:rFonts w:ascii="Times New Roman"/>
          <w:b w:val="false"/>
          <w:i w:val="false"/>
          <w:color w:val="000000"/>
          <w:sz w:val="28"/>
        </w:rPr>
        <w:t>
сельских округов"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организации и осуществления сбора налогов и других обязательных платежей в бюджет аппаратами акимов поселков, сельских округов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1. Общие положения</w:t>
      </w:r>
    </w:p>
    <w:p>
      <w:pPr>
        <w:spacing w:after="0"/>
        <w:ind w:left="0"/>
        <w:jc w:val="both"/>
      </w:pPr>
      <w:r>
        <w:rPr>
          <w:rFonts w:ascii="Times New Roman"/>
          <w:b w:val="false"/>
          <w:i w:val="false"/>
          <w:color w:val="000000"/>
          <w:sz w:val="28"/>
        </w:rPr>
        <w:t>      1. Настоящие Правила определяют организацию и осуществление сбора налогов и других обязательных платежей в бюджет, задачи, основные направления организации работы, обязанности и права специалистов аппаратов акимов поселков, сельских округов занимающихся сбором местных налогов (земельный налог c физических лиц, налог на транспортные средства с физических лиц, налог на имущество с физических лиц (далее - налоги)).</w:t>
      </w:r>
      <w:r>
        <w:br/>
      </w:r>
      <w:r>
        <w:rPr>
          <w:rFonts w:ascii="Times New Roman"/>
          <w:b w:val="false"/>
          <w:i w:val="false"/>
          <w:color w:val="000000"/>
          <w:sz w:val="28"/>
        </w:rPr>
        <w:t xml:space="preserve">
      Правовую основу деятельности специалистов аппаратов акимов поселков, сельских округов, занимающихся сбором налогов (далее - специалисты), составляет </w:t>
      </w:r>
      <w:r>
        <w:rPr>
          <w:rFonts w:ascii="Times New Roman"/>
          <w:b w:val="false"/>
          <w:i w:val="false"/>
          <w:color w:val="000000"/>
          <w:sz w:val="28"/>
        </w:rPr>
        <w:t xml:space="preserve">Конституция </w:t>
      </w:r>
      <w:r>
        <w:rPr>
          <w:rFonts w:ascii="Times New Roman"/>
          <w:b w:val="false"/>
          <w:i w:val="false"/>
          <w:color w:val="000000"/>
          <w:sz w:val="28"/>
        </w:rPr>
        <w:t>Республики Казахстан,</w:t>
      </w:r>
      <w:r>
        <w:rPr>
          <w:rFonts w:ascii="Times New Roman"/>
          <w:b w:val="false"/>
          <w:i w:val="false"/>
          <w:color w:val="000000"/>
          <w:sz w:val="28"/>
        </w:rPr>
        <w:t xml:space="preserve"> Кодекс </w:t>
      </w:r>
      <w:r>
        <w:rPr>
          <w:rFonts w:ascii="Times New Roman"/>
          <w:b w:val="false"/>
          <w:i w:val="false"/>
          <w:color w:val="000000"/>
          <w:sz w:val="28"/>
        </w:rPr>
        <w:t xml:space="preserve">Республики Казахстан "О налогах и других обязательных платежах в бюджет",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государственной службе", другие нормативные правовые акты Республики Казахстан и настоящие Правила.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Организация деятельности</w:t>
      </w:r>
    </w:p>
    <w:p>
      <w:pPr>
        <w:spacing w:after="0"/>
        <w:ind w:left="0"/>
        <w:jc w:val="both"/>
      </w:pPr>
      <w:r>
        <w:rPr>
          <w:rFonts w:ascii="Times New Roman"/>
          <w:b w:val="false"/>
          <w:i w:val="false"/>
          <w:color w:val="000000"/>
          <w:sz w:val="28"/>
        </w:rPr>
        <w:t>       2. Организация деятельности специалистов возлагается на акима соответствующего поселка, сельского округа.</w:t>
      </w:r>
      <w:r>
        <w:br/>
      </w:r>
      <w:r>
        <w:rPr>
          <w:rFonts w:ascii="Times New Roman"/>
          <w:b w:val="false"/>
          <w:i w:val="false"/>
          <w:color w:val="000000"/>
          <w:sz w:val="28"/>
        </w:rPr>
        <w:t>
      Методическое обеспечение деятельности специалистов осуществляют налоговые комитеты.</w:t>
      </w:r>
      <w:r>
        <w:br/>
      </w:r>
      <w:r>
        <w:rPr>
          <w:rFonts w:ascii="Times New Roman"/>
          <w:b w:val="false"/>
          <w:i w:val="false"/>
          <w:color w:val="000000"/>
          <w:sz w:val="28"/>
        </w:rPr>
        <w:t>
      На налоговые комитеты также возлагается оказание практической помощи в выполнении возложенных на специалиста задач, его обучение, повышение его профессионального уровня.</w:t>
      </w:r>
      <w:r>
        <w:br/>
      </w:r>
      <w:r>
        <w:rPr>
          <w:rFonts w:ascii="Times New Roman"/>
          <w:b w:val="false"/>
          <w:i w:val="false"/>
          <w:color w:val="000000"/>
          <w:sz w:val="28"/>
        </w:rPr>
        <w:t>
      3. Акимом соответствующего поселка, сельского округа за специалистом закрепляется административный участок. Размеры и границы участка определяются акимом и при необходимости пересматриваются с участием председателя соответствующего территориального налогового комитета, с учетом численности и состава населения, количества налогоплательщиков, площади территории, расстояний между населенными пунктами и других особенностей поселка, сельского округа - с таким расчетом, чтобы у каждого специалиста был примерно равный объем работы.</w:t>
      </w:r>
      <w:r>
        <w:br/>
      </w:r>
      <w:r>
        <w:rPr>
          <w:rFonts w:ascii="Times New Roman"/>
          <w:b w:val="false"/>
          <w:i w:val="false"/>
          <w:color w:val="000000"/>
          <w:sz w:val="28"/>
        </w:rPr>
        <w:t>
      4. Каждый специалист ведет на участке Паспорт объектов налогообложения физических лиц, не занятых в предпринимательской деятельности. (приложение 1)</w:t>
      </w:r>
      <w:r>
        <w:br/>
      </w:r>
      <w:r>
        <w:rPr>
          <w:rFonts w:ascii="Times New Roman"/>
          <w:b w:val="false"/>
          <w:i w:val="false"/>
          <w:color w:val="000000"/>
          <w:sz w:val="28"/>
        </w:rPr>
        <w:t>
      5. Порядок ведения Паспорта проверяется территориальным налоговым комитетом не реже одного раза в год.</w:t>
      </w:r>
      <w:r>
        <w:br/>
      </w:r>
      <w:r>
        <w:rPr>
          <w:rFonts w:ascii="Times New Roman"/>
          <w:b w:val="false"/>
          <w:i w:val="false"/>
          <w:color w:val="000000"/>
          <w:sz w:val="28"/>
        </w:rPr>
        <w:t>
      6. Специалист по своей работе отчитывается непосредственно перед акимом и соответствующим территориальным налоговым комитетом.</w:t>
      </w:r>
      <w:r>
        <w:br/>
      </w:r>
      <w:r>
        <w:rPr>
          <w:rFonts w:ascii="Times New Roman"/>
          <w:b w:val="false"/>
          <w:i w:val="false"/>
          <w:color w:val="000000"/>
          <w:sz w:val="28"/>
        </w:rPr>
        <w:t>
      7. Специалисты в своей деятельности тесно взаимодействуют с сотрудниками территориального налогового комитета и финансовой полиции. Взаимодействие обеспечивается путем обмена информацией в установленном законодательством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Права и обязанности специалиста</w:t>
      </w:r>
    </w:p>
    <w:p>
      <w:pPr>
        <w:spacing w:after="0"/>
        <w:ind w:left="0"/>
        <w:jc w:val="both"/>
      </w:pPr>
      <w:r>
        <w:rPr>
          <w:rFonts w:ascii="Times New Roman"/>
          <w:b w:val="false"/>
          <w:i w:val="false"/>
          <w:color w:val="000000"/>
          <w:sz w:val="28"/>
        </w:rPr>
        <w:t xml:space="preserve">      8. Специалист имеет право в соответствии со ст. 21 Налогового кодекса Республики Казахстан в обеспечение уплаты налогов взимать денежные средства по квитанции форма ФЛ-1, утвержденной Совместным </w:t>
      </w:r>
      <w:r>
        <w:rPr>
          <w:rFonts w:ascii="Times New Roman"/>
          <w:b w:val="false"/>
          <w:i w:val="false"/>
          <w:color w:val="000000"/>
          <w:sz w:val="28"/>
        </w:rPr>
        <w:t xml:space="preserve">приказом </w:t>
      </w:r>
      <w:r>
        <w:rPr>
          <w:rFonts w:ascii="Times New Roman"/>
          <w:b w:val="false"/>
          <w:i w:val="false"/>
          <w:color w:val="000000"/>
          <w:sz w:val="28"/>
        </w:rPr>
        <w:t>Министра государственных доходов Республики Казахстан от 16 апреля 2002 года за N 434 и Министра финансов Республики Казахстан от 19 апреля 2002 года за N 171.</w:t>
      </w:r>
      <w:r>
        <w:br/>
      </w:r>
      <w:r>
        <w:rPr>
          <w:rFonts w:ascii="Times New Roman"/>
          <w:b w:val="false"/>
          <w:i w:val="false"/>
          <w:color w:val="000000"/>
          <w:sz w:val="28"/>
        </w:rPr>
        <w:t>
      9. По обеспечению возложенных на него задач специалист обязан:</w:t>
      </w:r>
      <w:r>
        <w:br/>
      </w:r>
      <w:r>
        <w:rPr>
          <w:rFonts w:ascii="Times New Roman"/>
          <w:b w:val="false"/>
          <w:i w:val="false"/>
          <w:color w:val="000000"/>
          <w:sz w:val="28"/>
        </w:rPr>
        <w:t>
      1) обеспечить полноту и своевременность сбора налогов;</w:t>
      </w:r>
      <w:r>
        <w:br/>
      </w:r>
      <w:r>
        <w:rPr>
          <w:rFonts w:ascii="Times New Roman"/>
          <w:b w:val="false"/>
          <w:i w:val="false"/>
          <w:color w:val="000000"/>
          <w:sz w:val="28"/>
        </w:rPr>
        <w:t>
      2) проводить работу по ликвидации недоимки по налогам;</w:t>
      </w:r>
      <w:r>
        <w:br/>
      </w:r>
      <w:r>
        <w:rPr>
          <w:rFonts w:ascii="Times New Roman"/>
          <w:b w:val="false"/>
          <w:i w:val="false"/>
          <w:color w:val="000000"/>
          <w:sz w:val="28"/>
        </w:rPr>
        <w:t xml:space="preserve">
      3) осуществлять на территории участка своевременный и полный учет налогоплательщиков и объектов обложения; </w:t>
      </w:r>
      <w:r>
        <w:br/>
      </w:r>
      <w:r>
        <w:rPr>
          <w:rFonts w:ascii="Times New Roman"/>
          <w:b w:val="false"/>
          <w:i w:val="false"/>
          <w:color w:val="000000"/>
          <w:sz w:val="28"/>
        </w:rPr>
        <w:t>
      4) при приеме платежей выдавать налогоплательщику - физическому лицу квитанции форма ФЛ-1, подтверждающие факт уплаты налогов;</w:t>
      </w:r>
      <w:r>
        <w:br/>
      </w:r>
      <w:r>
        <w:rPr>
          <w:rFonts w:ascii="Times New Roman"/>
          <w:b w:val="false"/>
          <w:i w:val="false"/>
          <w:color w:val="000000"/>
          <w:sz w:val="28"/>
        </w:rPr>
        <w:t>
      5) своевременно и в полном объеме, не позднее дня, следующего за днем выдачи квитанции, подтверждающей факт уплаты сумм налогов, вносить их в банк, а при отсутствии банка в населенном пункте не позднее трех рабочих дней вносить их в ближайший банк;</w:t>
      </w:r>
      <w:r>
        <w:br/>
      </w:r>
      <w:r>
        <w:rPr>
          <w:rFonts w:ascii="Times New Roman"/>
          <w:b w:val="false"/>
          <w:i w:val="false"/>
          <w:color w:val="000000"/>
          <w:sz w:val="28"/>
        </w:rPr>
        <w:t>
      6) обеспечивать сохранность и правильность заполнения бланков квитанции форма ФЛ-1, своевременно предоставлять в территориальный налоговый комитет отчеты об их использовании с приложением бланков заполненных и испорченных бланков квитанций. В случае утери бланков строгой отчетности незамедлительно информировать соответствующий территориальный налоговый комитет;</w:t>
      </w:r>
      <w:r>
        <w:br/>
      </w:r>
      <w:r>
        <w:rPr>
          <w:rFonts w:ascii="Times New Roman"/>
          <w:b w:val="false"/>
          <w:i w:val="false"/>
          <w:color w:val="000000"/>
          <w:sz w:val="28"/>
        </w:rPr>
        <w:t>
      7) оказывать содействие в установлении местонахождения физических лиц, уклоняющихся от уплаты налогов и других обязательных платежей в бюджет;</w:t>
      </w:r>
      <w:r>
        <w:br/>
      </w:r>
      <w:r>
        <w:rPr>
          <w:rFonts w:ascii="Times New Roman"/>
          <w:b w:val="false"/>
          <w:i w:val="false"/>
          <w:color w:val="000000"/>
          <w:sz w:val="28"/>
        </w:rPr>
        <w:t>
      8) оказывать необходимое содействие работникам органов налогового комитета при исполнении ими служебных обязанностей на территории участка.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w:t>
      </w:r>
      <w:r>
        <w:br/>
      </w:r>
      <w:r>
        <w:rPr>
          <w:rFonts w:ascii="Times New Roman"/>
          <w:b w:val="false"/>
          <w:i w:val="false"/>
          <w:color w:val="000000"/>
          <w:sz w:val="28"/>
        </w:rPr>
        <w:t>
к "Правилам организации и осуществления</w:t>
      </w:r>
      <w:r>
        <w:br/>
      </w:r>
      <w:r>
        <w:rPr>
          <w:rFonts w:ascii="Times New Roman"/>
          <w:b w:val="false"/>
          <w:i w:val="false"/>
          <w:color w:val="000000"/>
          <w:sz w:val="28"/>
        </w:rPr>
        <w:t>
сбора налогов и других обязательных</w:t>
      </w:r>
      <w:r>
        <w:br/>
      </w:r>
      <w:r>
        <w:rPr>
          <w:rFonts w:ascii="Times New Roman"/>
          <w:b w:val="false"/>
          <w:i w:val="false"/>
          <w:color w:val="000000"/>
          <w:sz w:val="28"/>
        </w:rPr>
        <w:t>
платежей в бюджет аппаратами акимов</w:t>
      </w:r>
      <w:r>
        <w:br/>
      </w:r>
      <w:r>
        <w:rPr>
          <w:rFonts w:ascii="Times New Roman"/>
          <w:b w:val="false"/>
          <w:i w:val="false"/>
          <w:color w:val="000000"/>
          <w:sz w:val="28"/>
        </w:rPr>
        <w:t>
поселков, сельских округов."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Паспорт</w:t>
      </w:r>
      <w:r>
        <w:br/>
      </w:r>
      <w:r>
        <w:rPr>
          <w:rFonts w:ascii="Times New Roman"/>
          <w:b w:val="false"/>
          <w:i w:val="false"/>
          <w:color w:val="000000"/>
          <w:sz w:val="28"/>
        </w:rPr>
        <w:t>
</w:t>
      </w:r>
      <w:r>
        <w:rPr>
          <w:rFonts w:ascii="Times New Roman"/>
          <w:b/>
          <w:i w:val="false"/>
          <w:color w:val="000000"/>
          <w:sz w:val="28"/>
        </w:rPr>
        <w:t>объектов налогообложения физических лиц, не занятых в предпринимательской деятельности по _________________ сельскому</w:t>
      </w:r>
      <w:r>
        <w:br/>
      </w:r>
      <w:r>
        <w:rPr>
          <w:rFonts w:ascii="Times New Roman"/>
          <w:b w:val="false"/>
          <w:i w:val="false"/>
          <w:color w:val="000000"/>
          <w:sz w:val="28"/>
        </w:rPr>
        <w:t>
</w:t>
      </w:r>
      <w:r>
        <w:rPr>
          <w:rFonts w:ascii="Times New Roman"/>
          <w:b/>
          <w:i w:val="false"/>
          <w:color w:val="000000"/>
          <w:sz w:val="28"/>
        </w:rPr>
        <w:t>округу __________________________ района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33"/>
        <w:gridCol w:w="1123"/>
        <w:gridCol w:w="1124"/>
        <w:gridCol w:w="908"/>
        <w:gridCol w:w="1134"/>
        <w:gridCol w:w="1094"/>
        <w:gridCol w:w="1126"/>
        <w:gridCol w:w="976"/>
        <w:gridCol w:w="1019"/>
        <w:gridCol w:w="1038"/>
        <w:gridCol w:w="1019"/>
        <w:gridCol w:w="944"/>
      </w:tblGrid>
      <w:tr>
        <w:trPr>
          <w:trHeight w:val="480" w:hRule="atLeast"/>
        </w:trPr>
        <w:tc>
          <w:tcPr>
            <w:tcW w:w="542"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 п/п</w:t>
            </w:r>
          </w:p>
        </w:tc>
        <w:tc>
          <w:tcPr>
            <w:tcW w:w="10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Ф.И.О. Налогоплательщика(глава семьи)</w:t>
            </w:r>
          </w:p>
        </w:tc>
        <w:tc>
          <w:tcPr>
            <w:tcW w:w="112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Адрес места жит- ва (село улица дома)</w:t>
            </w:r>
          </w:p>
        </w:tc>
        <w:tc>
          <w:tcPr>
            <w:tcW w:w="112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Общая зем пл (кв.м наличие акта землеполь, дата)</w:t>
            </w:r>
          </w:p>
        </w:tc>
        <w:tc>
          <w:tcPr>
            <w:tcW w:w="0" w:type="auto"/>
            <w:gridSpan w:val="6"/>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 том числе</w:t>
            </w:r>
          </w:p>
        </w:tc>
        <w:tc>
          <w:tcPr>
            <w:tcW w:w="10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N и дата регистр им-ва в РГП " Центр по недвиж</w:t>
            </w:r>
          </w:p>
        </w:tc>
        <w:tc>
          <w:tcPr>
            <w:tcW w:w="1019"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стоим зарег им-ва вкл им-во получ в виде паевых долей</w:t>
            </w:r>
          </w:p>
        </w:tc>
        <w:tc>
          <w:tcPr>
            <w:tcW w:w="94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Наличие транспортных средств (шт)</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земли под жил фондом вкл соор при них (м2)</w:t>
            </w:r>
          </w:p>
        </w:tc>
        <w:tc>
          <w:tcPr>
            <w:tcW w:w="113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придом зем участ за искл зан под жильем и соор при них (м2)</w:t>
            </w:r>
          </w:p>
        </w:tc>
        <w:tc>
          <w:tcPr>
            <w:tcW w:w="109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земли личного подсоб х-ва, сад-во огородн и дачн стр-ва(га)</w:t>
            </w:r>
          </w:p>
        </w:tc>
        <w:tc>
          <w:tcPr>
            <w:tcW w:w="112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земли получ в виде паев, выходдолей (га)</w:t>
            </w:r>
          </w:p>
        </w:tc>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из них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8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с/х назн (га)</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иного назн ( указ конкретно)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55" w:hRule="atLeast"/>
        </w:trPr>
        <w:tc>
          <w:tcPr>
            <w:tcW w:w="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7</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9</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11</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13</w:t>
            </w:r>
          </w:p>
        </w:tc>
      </w:tr>
      <w:tr>
        <w:trPr>
          <w:trHeight w:val="255" w:hRule="atLeast"/>
        </w:trPr>
        <w:tc>
          <w:tcPr>
            <w:tcW w:w="54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3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1238"/>
        <w:gridCol w:w="1565"/>
        <w:gridCol w:w="1320"/>
        <w:gridCol w:w="1157"/>
        <w:gridCol w:w="1341"/>
        <w:gridCol w:w="1075"/>
        <w:gridCol w:w="1198"/>
        <w:gridCol w:w="953"/>
        <w:gridCol w:w="871"/>
        <w:gridCol w:w="1506"/>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Из них</w:t>
            </w:r>
          </w:p>
        </w:tc>
        <w:tc>
          <w:tcPr>
            <w:tcW w:w="95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Под-сь налогоплат.</w:t>
            </w:r>
          </w:p>
        </w:tc>
        <w:tc>
          <w:tcPr>
            <w:tcW w:w="87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Дата внесения в журна регист</w:t>
            </w:r>
          </w:p>
        </w:tc>
        <w:tc>
          <w:tcPr>
            <w:tcW w:w="150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Справочно (указ, наим, до-та по кот-ой пред, льгота</w:t>
            </w:r>
          </w:p>
        </w:tc>
      </w:tr>
      <w:tr>
        <w:trPr/>
        <w:tc>
          <w:tcPr>
            <w:tcW w:w="856"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легк а/маш ( марка, год вып, мощ, двиг)</w:t>
            </w:r>
          </w:p>
        </w:tc>
        <w:tc>
          <w:tcPr>
            <w:tcW w:w="123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груз а/м (марка, грузопод)</w:t>
            </w:r>
          </w:p>
        </w:tc>
        <w:tc>
          <w:tcPr>
            <w:tcW w:w="156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в т.ч груз а/м получ в нач дня</w:t>
            </w:r>
          </w:p>
        </w:tc>
        <w:tc>
          <w:tcPr>
            <w:tcW w:w="1320"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самох маш на пнев ходу</w:t>
            </w:r>
          </w:p>
        </w:tc>
        <w:tc>
          <w:tcPr>
            <w:tcW w:w="1157"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автоб (кол-во посад мест)</w:t>
            </w:r>
          </w:p>
        </w:tc>
        <w:tc>
          <w:tcPr>
            <w:tcW w:w="1341"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мотоц м/сани мало-мерн суда</w:t>
            </w:r>
          </w:p>
        </w:tc>
        <w:tc>
          <w:tcPr>
            <w:tcW w:w="1075"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катера суда яхты (лош,силы)</w:t>
            </w:r>
          </w:p>
        </w:tc>
        <w:tc>
          <w:tcPr>
            <w:tcW w:w="1198"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лет аппараты (квт, мощ)</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r>
      <w:tr>
        <w:trPr>
          <w:trHeight w:val="255"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14</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15</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17</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19</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20</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21</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22</w:t>
            </w:r>
          </w:p>
        </w:tc>
        <w:tc>
          <w:tcPr>
            <w:tcW w:w="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23</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24</w:t>
            </w:r>
          </w:p>
        </w:tc>
      </w:tr>
      <w:tr>
        <w:trPr>
          <w:trHeight w:val="255" w:hRule="atLeast"/>
        </w:trPr>
        <w:tc>
          <w:tcPr>
            <w:tcW w:w="85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23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07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871"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