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f30e" w14:textId="346f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расчету ставки прибыли на регулируемую базу задействованных активов субъектов естественной монополии, оказывающих услуги магистральной железнодорожной сети и подъездных путей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6 декабря 2004 года N 472-ОД. Зарегистрирован в Министерстве юстиции Республики Казахстан 22 декабря 2004 года N 3300.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Инструкцию по расчету ставки прибыли на регулируемую базу задействованных активов субъектов естественной монополии, оказывающих услуги магистральной железнодорожной сети и подъездных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(Жусанбаев Е.С.)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(Токарева М.А.) после государственной регистрации настоящего приказа в Министерстве юстиции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акционерного общества "Национальная компания "Казакстан темiр жолы", акционерного общества "Центр транспортного сервиса".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6 декабря 2004 года № 472-ОД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 по расчету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прибыли на регулируемую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субъектов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оказывающих услуги 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сети и подъездных путей"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расчету ставки прибыли на регулируемую базу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 субъектов естественной монополии,</w:t>
      </w:r>
      <w:r>
        <w:br/>
      </w:r>
      <w:r>
        <w:rPr>
          <w:rFonts w:ascii="Times New Roman"/>
          <w:b/>
          <w:i w:val="false"/>
          <w:color w:val="000000"/>
        </w:rPr>
        <w:t>оказывающих услуги магистральной железнодорожной</w:t>
      </w:r>
      <w:r>
        <w:br/>
      </w:r>
      <w:r>
        <w:rPr>
          <w:rFonts w:ascii="Times New Roman"/>
          <w:b/>
          <w:i w:val="false"/>
          <w:color w:val="000000"/>
        </w:rPr>
        <w:t>сети и подъездных путей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расчету ставки прибыли на регулируемую базу задействованных активов субъектов естественной монополии, оказывающих услуги магистральной железнодорожной сети и подъездных путей (далее - Инструкция) разработана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Инструкция детализирует порядок расчета допустимого уровня прибыли, входящего в состав тарифов (цен, ставок сбора) субъектов естественной монополии, оказывающих услуги магистральной железнодорожной сети и подъездных путей (далее - Субъект), и учитываемого при расчете и утверждении, в том числе на среднесрочный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Инструкция вводится с целью обоснованного расчета и возможности получения прибыли, обеспечивающей эффективное функционирование субъектов естественной монополии, оказывающих услуги магистральной железнодорожной сети и подъездных путей.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Инструкции используются следующие основные понятия: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допустимый уровень прибыли - прибыль (чистый доход после налогообложения), входящая в состав тарифа (цены, ставки сбора), которую Субъект имеет право получить для эффективного функционирования и улучшения качества реализуемых услуг (работ, товаров) для потребителей и подлежащая утверждению (согласованию) уполномоченным органом;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задействованности активов - показатель в процентном выражении, характеризующий фактическое использование (задействованность) основных средств Субъекта при производстве и предоставлении услуг (товаров, работ), отнесенных к сфере естественной монополии, от их технологической мощности (провозная, пропускная способность магистральной железнодорожной сети);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- финансовый год, предшествующий дате подачи заявки на установление или изменение тарифов (цен, ставок сборов) на услуги Субъектов;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регулируемая база задействованных активов - регулируемая стоимость активов, находящихся в собственности Субъекта и (или) используемых при производстве и предоставлении услуг (товаров, работ), на которые Субъект имеет право получать прибыль;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собственный капитал - капитал, принадлежащий участникам или акционерам Субъекта, и состоящий из определенного числа долей или акций, дающий участникам или акционерам Субъекта право на получение определенного дохода, а также включающий накопленную нераспределенную прибыль и резервный капитал, дополнительно оплаченный и дополнительно неоплаченный капитал, определяемый по балансовым данным Субъекта на конец отчетного периода;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капитала - величина, характеризующая ставку вознаграждения на заемные и собственные средства, отражающая инвестиционные риски, связанные с осуществлением деятельности, отнесенной к сфере естественной монополии.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настоящей Инструкции,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определения допустимого уровня прибыли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Допустимый уровень прибыли по i - му виду регулируемых услуг (операций) определяется как произведение ставки прибыли на величину регулируемой базы активов, задействованных в оказании i - ой услуги (операции), по следующей формуле: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ДУП 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= РБА 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ДУП 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допустимый уровень прибыли по i - му виду регулируемых услуг (операций), (тенге),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РБА 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регулируемая база активов, задействованных в оказании i - ой услуги (операции), (тенге),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- ставка прибыли (%). 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регулируемой базы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Регулируемая база задействованных активов по i - му виду регулируемых услуг (операций) государственных предприятий, акционерных обществ, контрольный пакет акций которых принадлежит государству, а также аффилиированных с ними юридических лиц определяется как произведение фактической стоимости активов, задействованных в оказании i - ой услуги (операции) на коэффициент задействованности активов,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РБА 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= СА 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стоимость активов, задействованных в оказании i - го вида регулируемых услуг (операций), (тенге),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Кза - коэффициент задействованности активов.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Распределение активов Субъекта на i - й вид регулируемых услуг (операций)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естественной монополии, оказывающих услуги магистральной железнодорожной сети в соответствии с Методикой расчета тарифов на услуги магистральной железнодорожной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естественной монополии, оказывающих услуги подъездных путей - в соответствии с Методикой расчета тарифов на услуги подъездных путей.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Коэффициент задействованности активов определяется как соотношение фактического объема (за четыре предшествующие квартала или за предыдущий календарный год) производимых и (или) оказываемых услуг (товаров, работ) основными средствами Субъекта к их технологической мощности (провозная, пропускная способность магистральной железнодорожной сети).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Коэффициент задействованности активов определяется Субъектом по согласованию с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Фактическая стоимость активов определяется на основе остаточной стоимости основных средств и нематериальных активов Субъекта, используемых при производстве и предоставлении услуг (товаров, работ), отнесенных к сфере естественной монополии, полученной в результате их переоценки независимыми оценщиками, выбранными на конкурсной основе.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Субъектов, не указанных в пункте 6 настоящей Инструкции, а также Субъектов, основные средства которых получены в доверительное управление, имущественный найм, по лизингу или в результате иных сделок: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регулируемая база задействованных активов по i - му виду регулируемых услуг (операций) определяется на основе стоимости приобретения (покупки и других способов приобретения) основных средств Субъектов с учетом фактически произведенных (ежегодных) инвестиций, ремонтных и других видов работ за период владения и (или) пользования, повлекших увеличение первоначальной стоимости основных средств, за минусом фактически начисленных за период владения и (или) пользования (ежегодных) амортизационных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государственных предприятий, акционерных обществ, контрольный пакет акций которых принадлежит государству, а также аффилиированных с ними юридических лиц, регулируемая база задействованных активов по i - му виду регулируемых услуг (операций) определяется в соответствии с пунктами 6, 7, 8, 9, 10 настоящей Инструкции.</w:t>
      </w:r>
    </w:p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расчета ставки прибыли на</w:t>
      </w:r>
      <w:r>
        <w:br/>
      </w:r>
      <w:r>
        <w:rPr>
          <w:rFonts w:ascii="Times New Roman"/>
          <w:b/>
          <w:i w:val="false"/>
          <w:color w:val="000000"/>
        </w:rPr>
        <w:t>регулируемую базу задействованных активов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Ставка прибыли на регулируемую базу задействованных активов используется для расчета допустимого уровня прибыли (чистый доход после налогообложения).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субъектов естественной монополии оказывающих услуги магистральной железнодорожной сети и подъездных путей, ставка прибыли рассчитывается с помощью метода средневзвешенной стоимости капитала (далее - СВСК) и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(СВСК) = ((1 - g) x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)+(g x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 - леверидж, является величиной, характеризующей соотношение заемного и собственного капитала Субъекта в общей структуре финансирования, то есть доля фактически заимствованных средств в структуре всего капитала (сумма собственного и заемного капитала) с учетом произведенной последней переоценки основных средств. Уровень левериджа является величиной не менее нуля. При отрицательном значении собственного капитала Субъекта, уровень левериджа принимается за величину, равную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вознаграждения на собственный капитал (%);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вознаграждения на заемные средства (%).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на заемные средства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 =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 + ДП,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безрисковая ставка принимается равной уровню официальной ставки рефинансирования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- долговая премия за риск по Субъекту, определяемая на основе премии на долговые обязательства, выпущенные Субъектом и находящиеся в обращении, относительно государственных ценных бумаг того же срока обращения, если выпуск долговых обязательств имел место. В ином случае, она определяется с учетом долговых премий за риск других Субъектов, занимающихся аналогичным видом деятельности и имеющих аналогичный кредитный рейтинг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собственный капитал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=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 +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премия за риск на собственный капитал. Премия за риск на собственный капитал определяется уполномоченным органом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вознаграждения на акционерный капитал является величиной не менее стоимости вознаграждения на заемные 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Председателя Агентства РК по регулированию естественных монополий от 29.11.2010 </w:t>
      </w:r>
      <w:r>
        <w:rPr>
          <w:rFonts w:ascii="Times New Roman"/>
          <w:b w:val="false"/>
          <w:i w:val="false"/>
          <w:color w:val="000000"/>
          <w:sz w:val="28"/>
        </w:rPr>
        <w:t>№ 331-ОД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