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84e3" w14:textId="c318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отчетов кастодианом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июня 2004 года № 155. Зарегистрировано Министерством юстиции Республики Казахстан от 12 июля 2004 года № 2941. Утратило силу постановлением Правления Национального Банка Республики Казахстан от 23 сентября 2013 года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рынке ценных бумаг", в целях повышения степени прозрачности и эффективности функционирования рынка ценных бумаг Правление Агентства Республики Казахстан по регулированию и надзору финансового рынка и финансовых организаций (далее - Агентство) 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представления отчетов кастодианом.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Агентства и кастодианов.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Утверждены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финансовых организаций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2004 года N 155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отчетов кастодианом"   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отчетов кастодианом 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устанавливают порядок и формы представления отчетов кастодианом в уполномоченный орган, осуществляющий государственное регулирование и надзор финансового рынка и финансовых организаций (далее - уполномоченный орган).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Кастодиан ежеквартально, не позднее последнего рабочего дня месяца, следующего за отчетным кварталом, представляет в уполномоченный орган следующие отчеты: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отчет о ценных бумагах, находящихся в номинальном держании кастодиана, по форме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отчет о блокированных (неисполненных) поручениях организаций, осуществляющих инвестиционное управление пенсионными активами, и управляющих инвестиционным портфелем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отчет о количестве клиентов кастодиана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Правления Агентства РК по регулированию и надзору финансового рынка и финансовых организаций от 28.05.2005 </w:t>
      </w:r>
      <w:r>
        <w:rPr>
          <w:rFonts w:ascii="Times New Roman"/>
          <w:b w:val="false"/>
          <w:i w:val="false"/>
          <w:color w:val="000000"/>
          <w:sz w:val="28"/>
        </w:rPr>
        <w:t>N 164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 п. 2); от 25.06.2007 N </w:t>
      </w:r>
      <w:r>
        <w:rPr>
          <w:rFonts w:ascii="Times New Roman"/>
          <w:b w:val="false"/>
          <w:i w:val="false"/>
          <w:color w:val="000000"/>
          <w:sz w:val="28"/>
        </w:rPr>
        <w:t>173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регистрации); от 01.06.2010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исключен - Постановлением Правления Агентства Республики Казахстан по регулированию и надзору финансового рынка и финансовых организаций от 28 мая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 п.2)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Отчеты представляются на бумажном носителе и в электронной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Отчеты направляются в уполномоченный орган с сопроводительным письмом, составленным в произвольной форме, подписанным руководителем кастодиана.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Отчеты, составленные в электронной форме, представляются на электронном носителе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постановления Правления Агентства РК по регулированию и надзору фин. рынка и фин. организаций от 25 июня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173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Отчеты подписываются руководителем кастодиана и заверяются печатью.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листы отчета, нумеруются, общее количество листов указывается в сопроводительном письме.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Отчеты, содержащие исправления и подчистки,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внесения изменений и/или дополнений в представляемые отчеты, кастодиан в течение трех дней представляет в уполномоченный орган исправленный вариант отчета с объяснением причин необходимости внесения изменений и/или дополнений.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может запросить у кастодиана сведения и документы, необходимые для проверки информации, указанной в отчетах.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 несвоевременное представление, непредставление отчетов или представление недостоверных сведений кастодиан и его должностные лица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Вопросы, не урегулированные настоящими Правилами, разрешаются в порядке, предусмотренном законодательством Республики Казахстан.  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представления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кастодианом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 Сноска. Приложение 1 - в редакции Постановления Правления Агентства Республики Казахстан по регулированию и надзору финансового рынка и финансовых организаций от 28 мая 2005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164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 п.2).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Отчет о ценных бумагах,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находящихся в номинальном держании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[наименование кастодиана]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конец отчетного периода </w:t>
      </w:r>
    </w:p>
    <w:bookmarkStart w:name="z21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953"/>
        <w:gridCol w:w="2353"/>
        <w:gridCol w:w="5833"/>
      </w:tblGrid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номер ценной бумаги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эмитента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депозитария, кастодиана, регистратора или иной организации, в которой кастодиан осуществляет номинальное держание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592"/>
        <w:gridCol w:w="1726"/>
        <w:gridCol w:w="1769"/>
        <w:gridCol w:w="1726"/>
        <w:gridCol w:w="1770"/>
        <w:gridCol w:w="1780"/>
        <w:gridCol w:w="1487"/>
      </w:tblGrid>
      <w:tr>
        <w:trPr>
          <w:trHeight w:val="8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ценных бумаг, находящихся на счетах клиентов кастодиана по состоянию на конец отчетного периода (штук) и количество держателей ценных бумаг </w:t>
            </w:r>
          </w:p>
        </w:tc>
      </w:tr>
      <w:tr>
        <w:trPr>
          <w:trHeight w:val="26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(пенсионные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(собственников) </w:t>
            </w:r>
          </w:p>
        </w:tc>
      </w:tr>
      <w:tr>
        <w:trPr>
          <w:trHeight w:val="150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(штук)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ценных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</w:tr>
      <w:tr>
        <w:trPr>
          <w:trHeight w:val="27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592"/>
        <w:gridCol w:w="1726"/>
        <w:gridCol w:w="1769"/>
        <w:gridCol w:w="1726"/>
        <w:gridCol w:w="1770"/>
        <w:gridCol w:w="1780"/>
        <w:gridCol w:w="1487"/>
      </w:tblGrid>
      <w:tr>
        <w:trPr>
          <w:trHeight w:val="8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ценных бумаг, находящихся на счетах клиентов кастодиана по состоянию на конец отчетного периода (штук) и количество держателей ценных бумаг </w:t>
            </w:r>
          </w:p>
        </w:tc>
      </w:tr>
      <w:tr>
        <w:trPr>
          <w:trHeight w:val="26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страховых (перестра-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ховочных) организаций Республики Казахстан (собственников)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брокеров-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дилеров Республики Казахстан (собственников-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небанков)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прочих лицензиатов финансового рынка Республики Казахстан (собственников)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номинальных держателей - резидентов Республики Казахстан   </w:t>
            </w:r>
          </w:p>
        </w:tc>
      </w:tr>
      <w:tr>
        <w:trPr>
          <w:trHeight w:val="150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(штук)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ценных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</w:tr>
      <w:tr>
        <w:trPr>
          <w:trHeight w:val="27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592"/>
        <w:gridCol w:w="1726"/>
        <w:gridCol w:w="1769"/>
        <w:gridCol w:w="1726"/>
        <w:gridCol w:w="1770"/>
        <w:gridCol w:w="1780"/>
        <w:gridCol w:w="1487"/>
      </w:tblGrid>
      <w:tr>
        <w:trPr>
          <w:trHeight w:val="8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ценных бумаг, находящихся на счетах клиентов кастодиана по состоянию на конец отчетного периода (штук) и количество держателей ценных бумаг </w:t>
            </w:r>
          </w:p>
        </w:tc>
      </w:tr>
      <w:tr>
        <w:trPr>
          <w:trHeight w:val="26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номинальных держателей - нерезидентов Республики Казахстан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прочих юридических лиц - резидентов Республики Казахстан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прочих юридических лиц - нерезидентов Республики Казахстан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 - резидентов Республики Казахстан  </w:t>
            </w:r>
          </w:p>
        </w:tc>
      </w:tr>
      <w:tr>
        <w:trPr>
          <w:trHeight w:val="150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(штук)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ценных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</w:tr>
      <w:tr>
        <w:trPr>
          <w:trHeight w:val="27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893"/>
      </w:tblGrid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 - нерезидентов Республики Казахстан </w:t>
            </w:r>
          </w:p>
        </w:tc>
      </w:tr>
      <w:tr>
        <w:trPr>
          <w:trHeight w:val="150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</w:tr>
      <w:tr>
        <w:trPr>
          <w:trHeight w:val="27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      [подпись]   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[подпись]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      [подпись,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номер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телефона]     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отчетов кастодианом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блокированных (неисполненных) поручениях организаций,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инвестиционное управление пенсионными активами,</w:t>
      </w:r>
      <w:r>
        <w:br/>
      </w:r>
      <w:r>
        <w:rPr>
          <w:rFonts w:ascii="Times New Roman"/>
          <w:b/>
          <w:i w:val="false"/>
          <w:color w:val="000000"/>
        </w:rPr>
        <w:t>
и управляющих инвестиционным портфелем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111"/>
        <w:gridCol w:w="1054"/>
        <w:gridCol w:w="1340"/>
        <w:gridCol w:w="1169"/>
        <w:gridCol w:w="1207"/>
        <w:gridCol w:w="1264"/>
        <w:gridCol w:w="1054"/>
        <w:gridCol w:w="1477"/>
        <w:gridCol w:w="1461"/>
        <w:gridCol w:w="1233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      (подпись)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   (подпись)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     (подпись, номер телефона)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(при наличии)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наименование организации, осуществляющей инвестиционное управление пенсионными активами, организации, осуществляющей управление инвестиционным портфелем, организации, осуществляющей брокерскую и дилерскую деятельность, являющихся клиентами кастодиана.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собственные, пенсионные активы либо активы клиентов организаций, осуществляющих инвестиционное управление пенсионными активами, организаций, осуществляющих управление инвестиционным портфелем, организаций, осуществляющих брокерскую и дилерскую деятельность, находящихся на кастодиальном обслуживании кастодиана.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наименование рынка в формате "фондовая биржа", "неорганизованный рынок", "международный рынок", в случае если сделка осуществлена в торговой системе фондовой биржи, указывается страна ее резидентства в формате "наименование фондовой биржи/страна".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блокированной (неисполненной) сделки (покупка, продажа, операции открытия и закрытия "репо", заключение договора банковского вклада и иные сделки). По операциям "репо" также указывается вид операций "репо": прямое или обратное "репо".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основания, по которым банком-кастодианом было блокировано (не исполнено) поручение о заключении сделки.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3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кастодианом             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Постановление дополнено приложением 3 в соответствии с   постановлением Правления Агентства РК по регулированию и надзору фин. рынка и фин. организаций от 25 июня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173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Отчет о количестве клиентов кастодиана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кастодиана)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 период с _____________ по 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773"/>
        <w:gridCol w:w="1813"/>
        <w:gridCol w:w="3053"/>
        <w:gridCol w:w="1953"/>
        <w:gridCol w:w="173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клиентов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лицензией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лиц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лиц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           (подпись)          фамилия, имя, при наличии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      (подпись)          фамилия, имя, при наличии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      (подпись,          фамилия, имя, при наличии 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номер телефона)   отчество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