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bfbc" w14:textId="d90b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профессиональными участниками рынка ценных бумаг, оказывающими услуги номинального держания, сделок с финансовыми инструментами, оформления и выдачи ими выписки с лицевого счета держателя финансовых инструментов и раскрытия информации номинальным держателем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15 марта 2004 года N 62. Зарегистрировано в Министерстве юстиции Республики Казахстан 24 апреля 2004 года N 2819. Утратило силу - постановлением Правления Агентства Республики Казахстан по регулированию и надзору финансового рынка и финансовых организаций от 25 февраля 2006 года N 61 (V064138)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в редакции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совершенствования нормативной правовой базы, регулирующей деятельность профессиональных участников рынка ценных бумаг, Правление Агентства Республики Казахстан по регулированию и надзору финансового рынка и финансовых организаций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регистрации профессиональными участниками рынка ценных бумаг, оказывающими услуги номинального держания, сделок с финансовыми инструментами, оформления и выдачи ими выписки с лицевого счета держателя финансовых инструментов и раскрытия информации номинальным держателем.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в редакции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(Шалгимбаева Г.Н.):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 центрального депозитария и организаций, осуществляющих брокерско-дилерскую и кастодиальную деятельность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по обеспечению деятельности Агентства Республики Казахстан по регулированию и надзору финансового рынка и финансовых организаций (Несипбаев Р.Р.) принять меры к публикации настоящего постановления в официальных печатных изданиях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над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Е.Л.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Агентства     
</w:t>
      </w:r>
      <w:r>
        <w:br/>
      </w:r>
      <w:r>
        <w:rPr>
          <w:rFonts w:ascii="Times New Roman"/>
          <w:b w:val="false"/>
          <w:i w:val="false"/>
          <w:color w:val="000000"/>
          <w:sz w:val="28"/>
        </w:rPr>
        <w:t>
Республики Казахстан по регулированию    
</w:t>
      </w:r>
      <w:r>
        <w:br/>
      </w:r>
      <w:r>
        <w:rPr>
          <w:rFonts w:ascii="Times New Roman"/>
          <w:b w:val="false"/>
          <w:i w:val="false"/>
          <w:color w:val="000000"/>
          <w:sz w:val="28"/>
        </w:rPr>
        <w:t>
и надзору финансового рынка и финансовых 
</w:t>
      </w:r>
      <w:r>
        <w:br/>
      </w:r>
      <w:r>
        <w:rPr>
          <w:rFonts w:ascii="Times New Roman"/>
          <w:b w:val="false"/>
          <w:i w:val="false"/>
          <w:color w:val="000000"/>
          <w:sz w:val="28"/>
        </w:rPr>
        <w:t>
организаций "Об утверждении Правил 
</w:t>
      </w:r>
      <w:r>
        <w:br/>
      </w:r>
      <w:r>
        <w:rPr>
          <w:rFonts w:ascii="Times New Roman"/>
          <w:b w:val="false"/>
          <w:i w:val="false"/>
          <w:color w:val="000000"/>
          <w:sz w:val="28"/>
        </w:rPr>
        <w:t>
регистрации профессиональными участниками 
</w:t>
      </w:r>
      <w:r>
        <w:br/>
      </w:r>
      <w:r>
        <w:rPr>
          <w:rFonts w:ascii="Times New Roman"/>
          <w:b w:val="false"/>
          <w:i w:val="false"/>
          <w:color w:val="000000"/>
          <w:sz w:val="28"/>
        </w:rPr>
        <w:t>
рынка ценных бумаг, оказывающими услуги 
</w:t>
      </w:r>
      <w:r>
        <w:br/>
      </w:r>
      <w:r>
        <w:rPr>
          <w:rFonts w:ascii="Times New Roman"/>
          <w:b w:val="false"/>
          <w:i w:val="false"/>
          <w:color w:val="000000"/>
          <w:sz w:val="28"/>
        </w:rPr>
        <w:t>
номинального держания, сделок с финансовыми 
</w:t>
      </w:r>
      <w:r>
        <w:br/>
      </w:r>
      <w:r>
        <w:rPr>
          <w:rFonts w:ascii="Times New Roman"/>
          <w:b w:val="false"/>
          <w:i w:val="false"/>
          <w:color w:val="000000"/>
          <w:sz w:val="28"/>
        </w:rPr>
        <w:t>
инструментами, оформления и выдачи ими выписки 
</w:t>
      </w:r>
      <w:r>
        <w:br/>
      </w:r>
      <w:r>
        <w:rPr>
          <w:rFonts w:ascii="Times New Roman"/>
          <w:b w:val="false"/>
          <w:i w:val="false"/>
          <w:color w:val="000000"/>
          <w:sz w:val="28"/>
        </w:rPr>
        <w:t>
с лицевого счета держателя финансовых 
</w:t>
      </w:r>
      <w:r>
        <w:br/>
      </w:r>
      <w:r>
        <w:rPr>
          <w:rFonts w:ascii="Times New Roman"/>
          <w:b w:val="false"/>
          <w:i w:val="false"/>
          <w:color w:val="000000"/>
          <w:sz w:val="28"/>
        </w:rPr>
        <w:t>
инструментов и раскрытия информации 
</w:t>
      </w:r>
      <w:r>
        <w:br/>
      </w:r>
      <w:r>
        <w:rPr>
          <w:rFonts w:ascii="Times New Roman"/>
          <w:b w:val="false"/>
          <w:i w:val="false"/>
          <w:color w:val="000000"/>
          <w:sz w:val="28"/>
        </w:rPr>
        <w:t>
номинальным держателем"       
</w:t>
      </w:r>
      <w:r>
        <w:br/>
      </w:r>
      <w:r>
        <w:rPr>
          <w:rFonts w:ascii="Times New Roman"/>
          <w:b w:val="false"/>
          <w:i w:val="false"/>
          <w:color w:val="000000"/>
          <w:sz w:val="28"/>
        </w:rPr>
        <w:t>
от 15 марта 2004 года N 62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регистрации профессиональными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участниками рынка ценных бумаг, оказывающими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услуги номинального держания, сделок с финансовыми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инструментами, оформления и выдачи ими выписки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лицевого счета держателя финансовых инструментов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раскрытия информации номинальным держателем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в редакции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регистрации профессиональными участниками рынка ценных бумаг, оказывающими услуги номинального держания, сделок с финансовыми инструментами, оформления и выдачи ими выписки с лицевого счета держателя финансовых инструментов и раскрытия информации номинальным держателем (далее - Правила) разработаны в соответствии с подпунктом 8) пункта 2 статьи 3, пунктом 1 
</w:t>
      </w:r>
      <w:r>
        <w:rPr>
          <w:rFonts w:ascii="Times New Roman"/>
          <w:b w:val="false"/>
          <w:i w:val="false"/>
          <w:color w:val="000000"/>
          <w:sz w:val="28"/>
        </w:rPr>
        <w:t xml:space="preserve"> статьи 38 </w:t>
      </w:r>
      <w:r>
        <w:rPr>
          <w:rFonts w:ascii="Times New Roman"/>
          <w:b w:val="false"/>
          <w:i w:val="false"/>
          <w:color w:val="000000"/>
          <w:sz w:val="28"/>
        </w:rPr>
        <w:t>
, пунктом 1 статьи 62 Закона Республики Казахстан "О рынке ценных бумаг", Законом Республики Казахстан "
</w:t>
      </w:r>
      <w:r>
        <w:rPr>
          <w:rFonts w:ascii="Times New Roman"/>
          <w:b w:val="false"/>
          <w:i w:val="false"/>
          <w:color w:val="000000"/>
          <w:sz w:val="28"/>
        </w:rPr>
        <w:t xml:space="preserve"> Об инвестиционных фондах </w:t>
      </w:r>
      <w:r>
        <w:rPr>
          <w:rFonts w:ascii="Times New Roman"/>
          <w:b w:val="false"/>
          <w:i w:val="false"/>
          <w:color w:val="000000"/>
          <w:sz w:val="28"/>
        </w:rPr>
        <w:t>
" и устанавливают условия и порядок регистрации сделок с ценными бумагами профессиональными участниками рынка ценных бумаг, оказывающими услуги номинального держания (далее - номинальный держатель), а также порядок оформления и выдачи выписки с лицевого счета держателя ценных бумаг.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преамбулу внесены изменения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настоящих Правилах используются следующие понятия:
</w:t>
      </w:r>
      <w:r>
        <w:br/>
      </w:r>
      <w:r>
        <w:rPr>
          <w:rFonts w:ascii="Times New Roman"/>
          <w:b w:val="false"/>
          <w:i w:val="false"/>
          <w:color w:val="000000"/>
          <w:sz w:val="28"/>
        </w:rPr>
        <w:t>
     1) лицевой счет номинального держателя - лицевой счет, открытый номинальному держателю и предназначенный для учета финансовых инструментов его клиентов;
</w:t>
      </w:r>
      <w:r>
        <w:br/>
      </w:r>
      <w:r>
        <w:rPr>
          <w:rFonts w:ascii="Times New Roman"/>
          <w:b w:val="false"/>
          <w:i w:val="false"/>
          <w:color w:val="000000"/>
          <w:sz w:val="28"/>
        </w:rPr>
        <w:t>
     2) лицевой счет держателя
</w:t>
      </w:r>
      <w:r>
        <w:rPr>
          <w:rFonts w:ascii="Times New Roman"/>
          <w:b/>
          <w:i w:val="false"/>
          <w:color w:val="000000"/>
          <w:sz w:val="28"/>
        </w:rPr>
        <w:t>
</w:t>
      </w:r>
      <w:r>
        <w:rPr>
          <w:rFonts w:ascii="Times New Roman"/>
          <w:b w:val="false"/>
          <w:i w:val="false"/>
          <w:color w:val="000000"/>
          <w:sz w:val="28"/>
        </w:rPr>
        <w:t>
финансовых инструментов - лицевой счет, открытый клиенту и предназначенный для учета его финансовых инструментов;
</w:t>
      </w:r>
      <w:r>
        <w:br/>
      </w:r>
      <w:r>
        <w:rPr>
          <w:rFonts w:ascii="Times New Roman"/>
          <w:b w:val="false"/>
          <w:i w:val="false"/>
          <w:color w:val="000000"/>
          <w:sz w:val="28"/>
        </w:rPr>
        <w:t>
     3) лицевой счет управляющего инвестиционным портфелем - лицевой счет, открытый управляющему инвестиционным портфелем для учета финансовых инструментов, переданных управляющему по договору на управление инвестиционным портфелем;
</w:t>
      </w:r>
      <w:r>
        <w:br/>
      </w:r>
      <w:r>
        <w:rPr>
          <w:rFonts w:ascii="Times New Roman"/>
          <w:b w:val="false"/>
          <w:i w:val="false"/>
          <w:color w:val="000000"/>
          <w:sz w:val="28"/>
        </w:rPr>
        <w:t>
     3-1) лицевой счет паевого инвестиционного фонда для учета размещенных паев - лицевой счет в системе учета номинального держания, по которому осуществляется учет количества размещенных паев паевого инвестиционного фонда, находящихся в обращении;
</w:t>
      </w:r>
      <w:r>
        <w:br/>
      </w:r>
      <w:r>
        <w:rPr>
          <w:rFonts w:ascii="Times New Roman"/>
          <w:b w:val="false"/>
          <w:i w:val="false"/>
          <w:color w:val="000000"/>
          <w:sz w:val="28"/>
        </w:rPr>
        <w:t>
     4) лицевой счет эмитента для учета выкупленных ценных бумаг - лицевой счет, открытый эмитенту в системе учета номинального держания, по которому осуществляется учет ценных бумаг, выкупленных эмитентом на вторичном рынке ценных бумаг, за исключением паев;
</w:t>
      </w:r>
      <w:r>
        <w:br/>
      </w:r>
      <w:r>
        <w:rPr>
          <w:rFonts w:ascii="Times New Roman"/>
          <w:b w:val="false"/>
          <w:i w:val="false"/>
          <w:color w:val="000000"/>
          <w:sz w:val="28"/>
        </w:rPr>
        <w:t>
     5) лицевой счет эмитента для учета объявленных ценных бумаг - лицевой счет, открытый эмитенту в системе учета номинального держания, по которому осуществляется учет неразмещенных ценных бумаг, за исключением паев;
</w:t>
      </w:r>
      <w:r>
        <w:br/>
      </w:r>
      <w:r>
        <w:rPr>
          <w:rFonts w:ascii="Times New Roman"/>
          <w:b w:val="false"/>
          <w:i w:val="false"/>
          <w:color w:val="000000"/>
          <w:sz w:val="28"/>
        </w:rPr>
        <w:t>
     6) операция в системе учета номинального держания - совокупность действий номинального держателя, результатом которых является внесение (изменение) данных в систему учета номинального держания и (или) подготовка и предоставление информации, составляющей систему учета номинального держания;
</w:t>
      </w:r>
      <w:r>
        <w:br/>
      </w:r>
      <w:r>
        <w:rPr>
          <w:rFonts w:ascii="Times New Roman"/>
          <w:b w:val="false"/>
          <w:i w:val="false"/>
          <w:color w:val="000000"/>
          <w:sz w:val="28"/>
        </w:rPr>
        <w:t>
     7) операция "репо" - совокупность двух одновременно заключаемых, различающихся по срокам исполнения и противоположных по направлению друг другу сделок с финансовыми инструментами одного выпуска, являющимися предметом операции "репо", сторонами которых являются два одних и тех же лица (участники операции "репо").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Номинальный держатель после заключения договора о номинальном держании с клиентом открывает клиенту в системе учета номинального держания лицевой счет и субсчет клиента в системе учета центрального депозитария.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Субсчет в системе учета центрального депозитария открывается в соответствии с требованиями Свода правил центрального депозитария (далее - Свод правил), с раскрытием информации, необходимой центральному депозитарию для открытия субсчета.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Лицевому счету присваивается номинальным держателем индивидуальный номер. Лицевой счет и субсчет клиента в центральном депозитарии в обязательном порядке содержат следующие сведения о (об):
</w:t>
      </w:r>
      <w:r>
        <w:br/>
      </w:r>
      <w:r>
        <w:rPr>
          <w:rFonts w:ascii="Times New Roman"/>
          <w:b w:val="false"/>
          <w:i w:val="false"/>
          <w:color w:val="000000"/>
          <w:sz w:val="28"/>
        </w:rPr>
        <w:t>
      1) зарегистрированном лице (фамилия, имя и отчество (при наличии) или наименование держателя
</w:t>
      </w:r>
      <w:r>
        <w:rPr>
          <w:rFonts w:ascii="Times New Roman"/>
          <w:b/>
          <w:i w:val="false"/>
          <w:color w:val="000000"/>
          <w:sz w:val="28"/>
        </w:rPr>
        <w:t>
</w:t>
      </w:r>
      <w:r>
        <w:rPr>
          <w:rFonts w:ascii="Times New Roman"/>
          <w:b w:val="false"/>
          <w:i w:val="false"/>
          <w:color w:val="000000"/>
          <w:sz w:val="28"/>
        </w:rPr>
        <w:t>
финансовых инструментов, признаки резидентства клиента, признаки сектора экономики (в соответствии с Правилами применения Государственного классификатора Республики Казахстан - единого классификатора назначения платежей,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15 ноября 1999 года N 388 (зарегистрированным в Реестре государственной регистрации нормативных правовых актов Республики Казахстан под N 1011)), сведения о документе, подтверждающем регистрацию юридического лица или сведения о документе, удостоверяющем личность физического лица, код Общего классификатора предприятий и организаций (ОКПО) для юридического лица, почтовый и юридический адреса, банковские реквизиты (при необходимости банковские реквизиты, предназначенные для перечисления вознаграждения и сумм в погашение по финансовым инструментам и банковские реквизиты, предназначенные для осуществления расчетов по сделкам с финансовыми инструментами), сведения о налоговых льготах и другая информация, необходимая центральному депозитарию и/или номинальному держателю в соответствии со Сводом правил или внутренним документом номинального держателя для открытия субсчета и/или лицевого счета, соответственно);
</w:t>
      </w:r>
      <w:r>
        <w:br/>
      </w:r>
      <w:r>
        <w:rPr>
          <w:rFonts w:ascii="Times New Roman"/>
          <w:b w:val="false"/>
          <w:i w:val="false"/>
          <w:color w:val="000000"/>
          <w:sz w:val="28"/>
        </w:rPr>
        <w:t>
      2) количестве, виде и идентификационном номере финансовых инструментов, зарегистрированных на данном лицевом счете/субсчете;
</w:t>
      </w:r>
      <w:r>
        <w:br/>
      </w:r>
      <w:r>
        <w:rPr>
          <w:rFonts w:ascii="Times New Roman"/>
          <w:b w:val="false"/>
          <w:i w:val="false"/>
          <w:color w:val="000000"/>
          <w:sz w:val="28"/>
        </w:rPr>
        <w:t>
      3) количестве обремененных финансовых инструментов;
</w:t>
      </w:r>
      <w:r>
        <w:br/>
      </w:r>
      <w:r>
        <w:rPr>
          <w:rFonts w:ascii="Times New Roman"/>
          <w:b w:val="false"/>
          <w:i w:val="false"/>
          <w:color w:val="000000"/>
          <w:sz w:val="28"/>
        </w:rPr>
        <w:t>
      4) количестве блокированных финансовых инструментов;
</w:t>
      </w:r>
      <w:r>
        <w:br/>
      </w:r>
      <w:r>
        <w:rPr>
          <w:rFonts w:ascii="Times New Roman"/>
          <w:b w:val="false"/>
          <w:i w:val="false"/>
          <w:color w:val="000000"/>
          <w:sz w:val="28"/>
        </w:rPr>
        <w:t>
      5) количестве финансовых инструментов, являющихся предметом операции "репо";
</w:t>
      </w:r>
      <w:r>
        <w:br/>
      </w:r>
      <w:r>
        <w:rPr>
          <w:rFonts w:ascii="Times New Roman"/>
          <w:b w:val="false"/>
          <w:i w:val="false"/>
          <w:color w:val="000000"/>
          <w:sz w:val="28"/>
        </w:rPr>
        <w:t>
      6) сделках, зарегистрированных по данному лицевому счету,
</w:t>
      </w:r>
      <w:r>
        <w:rPr>
          <w:rFonts w:ascii="Times New Roman"/>
          <w:b/>
          <w:i w:val="false"/>
          <w:color w:val="000000"/>
          <w:sz w:val="28"/>
        </w:rPr>
        <w:t>
</w:t>
      </w:r>
      <w:r>
        <w:rPr>
          <w:rFonts w:ascii="Times New Roman"/>
          <w:b w:val="false"/>
          <w:i w:val="false"/>
          <w:color w:val="000000"/>
          <w:sz w:val="28"/>
        </w:rPr>
        <w:t>
и операциях, отраженных в системе учета номинального держания:
</w:t>
      </w:r>
      <w:r>
        <w:br/>
      </w:r>
      <w:r>
        <w:rPr>
          <w:rFonts w:ascii="Times New Roman"/>
          <w:b w:val="false"/>
          <w:i w:val="false"/>
          <w:color w:val="000000"/>
          <w:sz w:val="28"/>
        </w:rPr>
        <w:t>
      вид сделки/операции;
</w:t>
      </w:r>
      <w:r>
        <w:br/>
      </w:r>
      <w:r>
        <w:rPr>
          <w:rFonts w:ascii="Times New Roman"/>
          <w:b w:val="false"/>
          <w:i w:val="false"/>
          <w:color w:val="000000"/>
          <w:sz w:val="28"/>
        </w:rPr>
        <w:t>
      дата и время ее регистрации;
</w:t>
      </w:r>
      <w:r>
        <w:br/>
      </w:r>
      <w:r>
        <w:rPr>
          <w:rFonts w:ascii="Times New Roman"/>
          <w:b w:val="false"/>
          <w:i w:val="false"/>
          <w:color w:val="000000"/>
          <w:sz w:val="28"/>
        </w:rPr>
        <w:t>
      основание проведения сделки/операции;
</w:t>
      </w:r>
      <w:r>
        <w:br/>
      </w:r>
      <w:r>
        <w:rPr>
          <w:rFonts w:ascii="Times New Roman"/>
          <w:b w:val="false"/>
          <w:i w:val="false"/>
          <w:color w:val="000000"/>
          <w:sz w:val="28"/>
        </w:rPr>
        <w:t>
      номера лицевых счетов, участвовавших в операции;
</w:t>
      </w:r>
      <w:r>
        <w:br/>
      </w:r>
      <w:r>
        <w:rPr>
          <w:rFonts w:ascii="Times New Roman"/>
          <w:b w:val="false"/>
          <w:i w:val="false"/>
          <w:color w:val="000000"/>
          <w:sz w:val="28"/>
        </w:rPr>
        <w:t>
      количество, вид, идентификационный номер финансовых инструментов, в отношении которых зарегистрирована сделка:
</w:t>
      </w:r>
      <w:r>
        <w:br/>
      </w:r>
      <w:r>
        <w:rPr>
          <w:rFonts w:ascii="Times New Roman"/>
          <w:b w:val="false"/>
          <w:i w:val="false"/>
          <w:color w:val="000000"/>
          <w:sz w:val="28"/>
        </w:rPr>
        <w:t>
      другие сведения, необходимые для определенных видов операций/сделок.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в редакции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Для учета паев паевого инвестиционного фонда, размещенных на организованном рынке ценных бумаг, номинальный держатель открывает лицевой счет паевого инвестиционного фонда на основании документов, представленных управляющей компанией паевого инвестиционного фонда.
</w:t>
      </w:r>
      <w:r>
        <w:br/>
      </w:r>
      <w:r>
        <w:rPr>
          <w:rFonts w:ascii="Times New Roman"/>
          <w:b w:val="false"/>
          <w:i w:val="false"/>
          <w:color w:val="000000"/>
          <w:sz w:val="28"/>
        </w:rPr>
        <w:t>
     Лицевой счет паевого инвестиционного фонда содержит информацию о наименовании паевого инвестиционного фонда, управляющей компании, осуществляющей управление его активами, и не содержит информации, указанной в подпунктах 1), 3), 4) и 5) пункта 3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3-1 -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На лицевых счетах открываются следующие разделы:
</w:t>
      </w:r>
      <w:r>
        <w:br/>
      </w:r>
      <w:r>
        <w:rPr>
          <w:rFonts w:ascii="Times New Roman"/>
          <w:b w:val="false"/>
          <w:i w:val="false"/>
          <w:color w:val="000000"/>
          <w:sz w:val="28"/>
        </w:rPr>
        <w:t>
     1) "основной" - предназначен для учета финансовых инструментов, на которые не установлены ограничения на проведение сделок;
</w:t>
      </w:r>
      <w:r>
        <w:br/>
      </w:r>
      <w:r>
        <w:rPr>
          <w:rFonts w:ascii="Times New Roman"/>
          <w:b w:val="false"/>
          <w:i w:val="false"/>
          <w:color w:val="000000"/>
          <w:sz w:val="28"/>
        </w:rPr>
        <w:t>
     2) "блокирование" - предназначен для учета финансовых инструментов, на которые на основании решения государственного органа, уполномоченного в соответствии с законами Республики Казахстан на принятие такого решения, наложен временный запрет на регистрацию гражданско-правовых сделок с финансовыми инструментами, осуществляемый с целью гарантирования сохранности финансовых инструментов;
</w:t>
      </w:r>
      <w:r>
        <w:br/>
      </w:r>
      <w:r>
        <w:rPr>
          <w:rFonts w:ascii="Times New Roman"/>
          <w:b w:val="false"/>
          <w:i w:val="false"/>
          <w:color w:val="000000"/>
          <w:sz w:val="28"/>
        </w:rPr>
        <w:t>
     3) "репо" - предназначен для учета финансовых инструментов, являющихся предметом операции "репо", заключенной в секторе "автоматического репо";
</w:t>
      </w:r>
      <w:r>
        <w:br/>
      </w:r>
      <w:r>
        <w:rPr>
          <w:rFonts w:ascii="Times New Roman"/>
          <w:b w:val="false"/>
          <w:i w:val="false"/>
          <w:color w:val="000000"/>
          <w:sz w:val="28"/>
        </w:rPr>
        <w:t>
     4) "обременение" - предназначен для учета финансовых инструментов, на которые наложены ограничения на осуществление сделок для обеспечения обязательств держателя финансовых инструментов перед другими лицами, возникших на основании гражданско-правовой сделки.
</w:t>
      </w:r>
      <w:r>
        <w:br/>
      </w:r>
      <w:r>
        <w:rPr>
          <w:rFonts w:ascii="Times New Roman"/>
          <w:b w:val="false"/>
          <w:i w:val="false"/>
          <w:color w:val="000000"/>
          <w:sz w:val="28"/>
        </w:rPr>
        <w:t>
     Номинальный держатель может открывать на лицевом счете дополнительные разделы для учета финансовых инструментов.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редакции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Лицевой счет номинального держателя открывается номинальным держателям в системе учета центрального депозитария или в системе учета банка-кастодиана при оказании им услуг номинального держания в отношении иностранных финансовых инструментов или иностранным организациям, осуществляющим функции номинального держателя, на основании приказа на открытие лицевого счета и документов, определенных внутренними документами центрального депозитария или банка-кастодиана.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Открытие лицевого счета физическому лицу в системе учета номинального держания осуществляется номинальным держателем на основании приказа на открытие лицевого счета, документа, удостоверяющего личность, и договора о номинальном держании.
</w:t>
      </w:r>
      <w:r>
        <w:br/>
      </w:r>
      <w:r>
        <w:rPr>
          <w:rFonts w:ascii="Times New Roman"/>
          <w:b w:val="false"/>
          <w:i w:val="false"/>
          <w:color w:val="000000"/>
          <w:sz w:val="28"/>
        </w:rPr>
        <w:t>
     7. Открытие лицевого счета юридическому лицу в системе учета номинального держания осуществляется номинальным держателем на основании следующих документов:
</w:t>
      </w:r>
      <w:r>
        <w:br/>
      </w:r>
      <w:r>
        <w:rPr>
          <w:rFonts w:ascii="Times New Roman"/>
          <w:b w:val="false"/>
          <w:i w:val="false"/>
          <w:color w:val="000000"/>
          <w:sz w:val="28"/>
        </w:rPr>
        <w:t>
     1) приказа на открытие лицевого счета;
</w:t>
      </w:r>
      <w:r>
        <w:br/>
      </w:r>
      <w:r>
        <w:rPr>
          <w:rFonts w:ascii="Times New Roman"/>
          <w:b w:val="false"/>
          <w:i w:val="false"/>
          <w:color w:val="000000"/>
          <w:sz w:val="28"/>
        </w:rPr>
        <w:t>
     2) копии свидетельства о государственной (пере)регистрации юридического лица;
</w:t>
      </w:r>
      <w:r>
        <w:br/>
      </w:r>
      <w:r>
        <w:rPr>
          <w:rFonts w:ascii="Times New Roman"/>
          <w:b w:val="false"/>
          <w:i w:val="false"/>
          <w:color w:val="000000"/>
          <w:sz w:val="28"/>
        </w:rPr>
        <w:t>
     3) копии статистической карточки;
</w:t>
      </w:r>
      <w:r>
        <w:br/>
      </w:r>
      <w:r>
        <w:rPr>
          <w:rFonts w:ascii="Times New Roman"/>
          <w:b w:val="false"/>
          <w:i w:val="false"/>
          <w:color w:val="000000"/>
          <w:sz w:val="28"/>
        </w:rPr>
        <w:t>
     4) договора о номинальном держании;
</w:t>
      </w:r>
      <w:r>
        <w:br/>
      </w:r>
      <w:r>
        <w:rPr>
          <w:rFonts w:ascii="Times New Roman"/>
          <w:b w:val="false"/>
          <w:i w:val="false"/>
          <w:color w:val="000000"/>
          <w:sz w:val="28"/>
        </w:rPr>
        <w:t>
     5) нотариально засвидетельствованной карточки образцов подписей представителей юридического лица, обладающих правом подписывать документы на регистрацию сделок с финансовыми инструментами, а также для получения выписки с лицевого счета и иной информации, с оттиском печати.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Лицевой счет управляющего инвестиционным портфелем открывается в системе учета номинального держания управляющему инвестиционным портфелем на основании приказа на открытие лицевого счета и документов, определенных внутренними документами номинального держателя.
</w:t>
      </w:r>
      <w:r>
        <w:br/>
      </w:r>
      <w:r>
        <w:rPr>
          <w:rFonts w:ascii="Times New Roman"/>
          <w:b w:val="false"/>
          <w:i w:val="false"/>
          <w:color w:val="000000"/>
          <w:sz w:val="28"/>
        </w:rPr>
        <w:t>
     8-1. Лицевой счет паевого инвестиционного фонда открывается в системе учета номинального держания при размещении паев на организованном рынке ценных бумаг на основании приказа управляющей компании паевого инвестиционного фонда на открытие лицевого счета данного фонда, правил паевого инвестиционного фонда, андеррайтингового соглашения и документов, определенных внутренними документами номинального держателя.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8-1 -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Лицевой счет эмитента для учета объявленных ценных бумаг открывается в системе учета номинального держания эмитенту при размещении ценных бумаг на организованном рынке на основании приказа на открытие лицевого счета и андеррайтингового соглашения. 
</w:t>
      </w:r>
      <w:r>
        <w:br/>
      </w:r>
      <w:r>
        <w:rPr>
          <w:rFonts w:ascii="Times New Roman"/>
          <w:b w:val="false"/>
          <w:i w:val="false"/>
          <w:color w:val="000000"/>
          <w:sz w:val="28"/>
        </w:rPr>
        <w:t>
     10. При выкупе эмитентом своих ценных бумаг номинальный держатель в системе учета номинального держания на основании приказа на открытие лицевого счета открывает эмитенту лицевой счет эмитента для учета выкупленных ценных бумаг. 
</w:t>
      </w:r>
      <w:r>
        <w:br/>
      </w:r>
      <w:r>
        <w:rPr>
          <w:rFonts w:ascii="Times New Roman"/>
          <w:b w:val="false"/>
          <w:i w:val="false"/>
          <w:color w:val="000000"/>
          <w:sz w:val="28"/>
        </w:rPr>
        <w:t>
     11. Неразмещенные и выкупленные ценные бумаги эмитента, размещенные паи паевого инвестиционного фонда учитываются на соответствующих субсчетах, открытых номинальным держателем в центральном депозитарии с раскрытием всех реквизитов эмитента, паевого инвестиционного фонда, необходимых в соответствии со сводом правил центрального депозитария.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в новой редакции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Приказ на открытие лицевого счета подписывается представителем юридического лица (физическим лицом или его представителем) и содержит следующие сведения:
</w:t>
      </w:r>
      <w:r>
        <w:br/>
      </w:r>
      <w:r>
        <w:rPr>
          <w:rFonts w:ascii="Times New Roman"/>
          <w:b w:val="false"/>
          <w:i w:val="false"/>
          <w:color w:val="000000"/>
          <w:sz w:val="28"/>
        </w:rPr>
        <w:t>
     1) наименование юридического лица (фамилия, имя, при наличии отчество физического лица);
</w:t>
      </w:r>
      <w:r>
        <w:br/>
      </w:r>
      <w:r>
        <w:rPr>
          <w:rFonts w:ascii="Times New Roman"/>
          <w:b w:val="false"/>
          <w:i w:val="false"/>
          <w:color w:val="000000"/>
          <w:sz w:val="28"/>
        </w:rPr>
        <w:t>
     2) наименование и реквизиты документа, удостоверяющего личность физического лица;
</w:t>
      </w:r>
      <w:r>
        <w:br/>
      </w:r>
      <w:r>
        <w:rPr>
          <w:rFonts w:ascii="Times New Roman"/>
          <w:b w:val="false"/>
          <w:i w:val="false"/>
          <w:color w:val="000000"/>
          <w:sz w:val="28"/>
        </w:rPr>
        <w:t>
     3) дату рождения физического лица;
</w:t>
      </w:r>
      <w:r>
        <w:br/>
      </w:r>
      <w:r>
        <w:rPr>
          <w:rFonts w:ascii="Times New Roman"/>
          <w:b w:val="false"/>
          <w:i w:val="false"/>
          <w:color w:val="000000"/>
          <w:sz w:val="28"/>
        </w:rPr>
        <w:t>
     4) дату и номер свидетельства о государственной (пере)регистрации юридического лица;
</w:t>
      </w:r>
      <w:r>
        <w:br/>
      </w:r>
      <w:r>
        <w:rPr>
          <w:rFonts w:ascii="Times New Roman"/>
          <w:b w:val="false"/>
          <w:i w:val="false"/>
          <w:color w:val="000000"/>
          <w:sz w:val="28"/>
        </w:rPr>
        <w:t>
     5) место нахождения юридического лица (место жительства физического лица), почтовый адрес;
</w:t>
      </w:r>
      <w:r>
        <w:br/>
      </w:r>
      <w:r>
        <w:rPr>
          <w:rFonts w:ascii="Times New Roman"/>
          <w:b w:val="false"/>
          <w:i w:val="false"/>
          <w:color w:val="000000"/>
          <w:sz w:val="28"/>
        </w:rPr>
        <w:t>
     6) регистрационный номер налогоплательщика и сведения о распространяющихся на него налоговых льготах в отношении финансовых инструментов;
</w:t>
      </w:r>
      <w:r>
        <w:br/>
      </w:r>
      <w:r>
        <w:rPr>
          <w:rFonts w:ascii="Times New Roman"/>
          <w:b w:val="false"/>
          <w:i w:val="false"/>
          <w:color w:val="000000"/>
          <w:sz w:val="28"/>
        </w:rPr>
        <w:t>
     7) банковские реквизиты;
</w:t>
      </w:r>
      <w:r>
        <w:br/>
      </w:r>
      <w:r>
        <w:rPr>
          <w:rFonts w:ascii="Times New Roman"/>
          <w:b w:val="false"/>
          <w:i w:val="false"/>
          <w:color w:val="000000"/>
          <w:sz w:val="28"/>
        </w:rPr>
        <w:t>
     8) другие сведения, необходимые центральному депозитарию и/или номинальному держателю в соответствии со Сводом правил или внутренним документом номинального держателя соответственно.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12-1. Номинальный держатель осуществляет резервное копирование и хранение электронных данных, составляющих систему учета номинального держания не реже одного раза в месяц. Резервные копии подлежат защите от несанкционированного доступа к информации.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12-1 -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12-2. Хранение резервных копий осуществляется на внешних носителях (CD-R, CD-RW, Flash-Drive) в организации, обладающей лицензией на сейфовые операции. Резервные копии хранятся до их замены обновленными резервными копиями.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12-2 -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Условия и порядок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сделок с ценными бумагами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Регистрация сделок с финансовыми инструментами и
</w:t>
      </w:r>
      <w:r>
        <w:rPr>
          <w:rFonts w:ascii="Times New Roman"/>
          <w:b/>
          <w:i w:val="false"/>
          <w:color w:val="000000"/>
          <w:sz w:val="28"/>
        </w:rPr>
        <w:t>
</w:t>
      </w:r>
      <w:r>
        <w:rPr>
          <w:rFonts w:ascii="Times New Roman"/>
          <w:b w:val="false"/>
          <w:i w:val="false"/>
          <w:color w:val="000000"/>
          <w:sz w:val="28"/>
        </w:rPr>
        <w:t>
отражение операции
</w:t>
      </w:r>
      <w:r>
        <w:rPr>
          <w:rFonts w:ascii="Times New Roman"/>
          <w:b/>
          <w:i w:val="false"/>
          <w:color w:val="000000"/>
          <w:sz w:val="28"/>
        </w:rPr>
        <w:t>
</w:t>
      </w:r>
      <w:r>
        <w:rPr>
          <w:rFonts w:ascii="Times New Roman"/>
          <w:b w:val="false"/>
          <w:i w:val="false"/>
          <w:color w:val="000000"/>
          <w:sz w:val="28"/>
        </w:rPr>
        <w:t>
в системе учета номинального держания совершаются путем внесения соответствующих записей по лицевым счетам.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в редакции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В системе учета номинального держания осуществляются следующие виды операций и сделок:
</w:t>
      </w:r>
      <w:r>
        <w:br/>
      </w:r>
      <w:r>
        <w:rPr>
          <w:rFonts w:ascii="Times New Roman"/>
          <w:b w:val="false"/>
          <w:i w:val="false"/>
          <w:color w:val="000000"/>
          <w:sz w:val="28"/>
        </w:rPr>
        <w:t>
      1) операции с лицевыми счетами в системе учета номинального держания:
</w:t>
      </w:r>
      <w:r>
        <w:br/>
      </w:r>
      <w:r>
        <w:rPr>
          <w:rFonts w:ascii="Times New Roman"/>
          <w:b w:val="false"/>
          <w:i w:val="false"/>
          <w:color w:val="000000"/>
          <w:sz w:val="28"/>
        </w:rPr>
        <w:t>
      открытие лицевого счета;
</w:t>
      </w:r>
      <w:r>
        <w:br/>
      </w:r>
      <w:r>
        <w:rPr>
          <w:rFonts w:ascii="Times New Roman"/>
          <w:b w:val="false"/>
          <w:i w:val="false"/>
          <w:color w:val="000000"/>
          <w:sz w:val="28"/>
        </w:rPr>
        <w:t>
      изменение сведений о зарегистрированном лице;
</w:t>
      </w:r>
      <w:r>
        <w:br/>
      </w:r>
      <w:r>
        <w:rPr>
          <w:rFonts w:ascii="Times New Roman"/>
          <w:b w:val="false"/>
          <w:i w:val="false"/>
          <w:color w:val="000000"/>
          <w:sz w:val="28"/>
        </w:rPr>
        <w:t>
      закрытие лицевого счета;
</w:t>
      </w:r>
      <w:r>
        <w:br/>
      </w:r>
      <w:r>
        <w:rPr>
          <w:rFonts w:ascii="Times New Roman"/>
          <w:b w:val="false"/>
          <w:i w:val="false"/>
          <w:color w:val="000000"/>
          <w:sz w:val="28"/>
        </w:rPr>
        <w:t>
      операция аннулирования ценных бумаг;
</w:t>
      </w:r>
      <w:r>
        <w:br/>
      </w:r>
      <w:r>
        <w:rPr>
          <w:rFonts w:ascii="Times New Roman"/>
          <w:b w:val="false"/>
          <w:i w:val="false"/>
          <w:color w:val="000000"/>
          <w:sz w:val="28"/>
        </w:rPr>
        <w:t>
      операции, в результате которых осуществляется блокирование или разблокирование финансовых инструментов на счетах держателей финансовых инструментов;
</w:t>
      </w:r>
      <w:r>
        <w:br/>
      </w:r>
      <w:r>
        <w:rPr>
          <w:rFonts w:ascii="Times New Roman"/>
          <w:b w:val="false"/>
          <w:i w:val="false"/>
          <w:color w:val="000000"/>
          <w:sz w:val="28"/>
        </w:rPr>
        <w:t>
      2) сделки, регистрируемые в системе учета номинального держателя:
</w:t>
      </w:r>
      <w:r>
        <w:br/>
      </w:r>
      <w:r>
        <w:rPr>
          <w:rFonts w:ascii="Times New Roman"/>
          <w:b w:val="false"/>
          <w:i w:val="false"/>
          <w:color w:val="000000"/>
          <w:sz w:val="28"/>
        </w:rPr>
        <w:t>
      сделки, предполагающие списание/зачисление финансовых инструментов со/на счета держателей
</w:t>
      </w:r>
      <w:r>
        <w:rPr>
          <w:rFonts w:ascii="Times New Roman"/>
          <w:b/>
          <w:i w:val="false"/>
          <w:color w:val="000000"/>
          <w:sz w:val="28"/>
        </w:rPr>
        <w:t>
</w:t>
      </w:r>
      <w:r>
        <w:rPr>
          <w:rFonts w:ascii="Times New Roman"/>
          <w:b w:val="false"/>
          <w:i w:val="false"/>
          <w:color w:val="000000"/>
          <w:sz w:val="28"/>
        </w:rPr>
        <w:t>
финансовых инструментов;
</w:t>
      </w:r>
      <w:r>
        <w:br/>
      </w:r>
      <w:r>
        <w:rPr>
          <w:rFonts w:ascii="Times New Roman"/>
          <w:b w:val="false"/>
          <w:i w:val="false"/>
          <w:color w:val="000000"/>
          <w:sz w:val="28"/>
        </w:rPr>
        <w:t>
      сделки, в результате которых накладывается или снимается обременение с финансовых инструментов на счетах держателей
</w:t>
      </w:r>
      <w:r>
        <w:rPr>
          <w:rFonts w:ascii="Times New Roman"/>
          <w:b/>
          <w:i w:val="false"/>
          <w:color w:val="000000"/>
          <w:sz w:val="28"/>
        </w:rPr>
        <w:t>
</w:t>
      </w:r>
      <w:r>
        <w:rPr>
          <w:rFonts w:ascii="Times New Roman"/>
          <w:b w:val="false"/>
          <w:i w:val="false"/>
          <w:color w:val="000000"/>
          <w:sz w:val="28"/>
        </w:rPr>
        <w:t>
финансовых инструментов;
</w:t>
      </w:r>
      <w:r>
        <w:br/>
      </w:r>
      <w:r>
        <w:rPr>
          <w:rFonts w:ascii="Times New Roman"/>
          <w:b w:val="false"/>
          <w:i w:val="false"/>
          <w:color w:val="000000"/>
          <w:sz w:val="28"/>
        </w:rPr>
        <w:t>
      операции репо;
</w:t>
      </w:r>
      <w:r>
        <w:br/>
      </w:r>
      <w:r>
        <w:rPr>
          <w:rFonts w:ascii="Times New Roman"/>
          <w:b w:val="false"/>
          <w:i w:val="false"/>
          <w:color w:val="000000"/>
          <w:sz w:val="28"/>
        </w:rPr>
        <w:t>
      3) информационные операции, регистрируемые в системе учета номинального держателя:
</w:t>
      </w:r>
      <w:r>
        <w:br/>
      </w:r>
      <w:r>
        <w:rPr>
          <w:rFonts w:ascii="Times New Roman"/>
          <w:b w:val="false"/>
          <w:i w:val="false"/>
          <w:color w:val="000000"/>
          <w:sz w:val="28"/>
        </w:rPr>
        <w:t>
      выдача выписки с лицевого счета;
</w:t>
      </w:r>
      <w:r>
        <w:br/>
      </w:r>
      <w:r>
        <w:rPr>
          <w:rFonts w:ascii="Times New Roman"/>
          <w:b w:val="false"/>
          <w:i w:val="false"/>
          <w:color w:val="000000"/>
          <w:sz w:val="28"/>
        </w:rPr>
        <w:t>
      выдача отчета о проведенных операциях;
</w:t>
      </w:r>
      <w:r>
        <w:br/>
      </w:r>
      <w:r>
        <w:rPr>
          <w:rFonts w:ascii="Times New Roman"/>
          <w:b w:val="false"/>
          <w:i w:val="false"/>
          <w:color w:val="000000"/>
          <w:sz w:val="28"/>
        </w:rPr>
        <w:t>
      подготовка и выдача других отчетов, по запросам держателей
</w:t>
      </w:r>
      <w:r>
        <w:rPr>
          <w:rFonts w:ascii="Times New Roman"/>
          <w:b/>
          <w:i w:val="false"/>
          <w:color w:val="000000"/>
          <w:sz w:val="28"/>
        </w:rPr>
        <w:t>
</w:t>
      </w:r>
      <w:r>
        <w:rPr>
          <w:rFonts w:ascii="Times New Roman"/>
          <w:b w:val="false"/>
          <w:i w:val="false"/>
          <w:color w:val="000000"/>
          <w:sz w:val="28"/>
        </w:rPr>
        <w:t>
финансовых инструментов, центрального депозитария, эмитентов и уполномоченных органов.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с дополнениями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редакции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Операции по лицевым счетам, совершенные в системе учета номинального держания, отражаются в системе учета центрального депозитария. Номинальный держатель направляет приказ о регистрации сделки по субсчету клиента в системе учета центрального депозитария в течение одного часа после проведения операции по лицевым счетам в системе учета номинального держания.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15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Перед проведением операции по лицевым счетам номинальный держатель осуществляет сверку подписей на приказах на их соответствие подписям, указанным в карточке образцов подписей представителей юридического лица или документе, удостоверяющем личность физического лица либо его представителя, которые являются стороной сделки.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с дополнениями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16-1. В случае, если подписи и печати на приказах не соответствуют имеющимся у номинального держателя образцам или в случае несоответствия формы приказа внутренним документам номинального держателя, номинальный держатель оформляет письменный отказ с указанием причин неисполнения приказа.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16-1 -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16-2. На основании принятого к исполнению приказа на регистрацию сделки номинальный держатель в течение трех рабочих дней формирует и направляет организатору торгов или в центральный депозитарий приказ на регистрацию соответствующей сделки.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16-2 -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16-3. В день получения от центрального депозитария отчета о проведенной операции номинальный держатель регистрирует в своей системе учета соответствующую сделку.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16-3 -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Операция по изменению сведений о зарегистрированном лице, содержащихся в лицевом счете, проводится номинальным держателем на основании приказа указанного лица на изменение сведений о нем и документов, подтверждающих эти изменения, перечень которых устанавливается внутренними документами номинального держателя.
</w:t>
      </w:r>
      <w:r>
        <w:br/>
      </w:r>
      <w:r>
        <w:rPr>
          <w:rFonts w:ascii="Times New Roman"/>
          <w:b w:val="false"/>
          <w:i w:val="false"/>
          <w:color w:val="000000"/>
          <w:sz w:val="28"/>
        </w:rPr>
        <w:t>
     Операция по изменению сведений о паевом инвестиционном фонде, содержащихся в лицевом счете, проводится номинальным держателем на основании приказа управляющей компании данного фонда на изменение сведений о фонде и документов, подтверждающих эти изменения, перечень которых устанавливается внутренними документами номинального держателя.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с дополнениями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Регистрация сделок и отражение операций в системе учета номинального держания производятся номинальным держателем на основании приказов держателей финансовых инструментов, за исключением сделок, совершенных на организованном рынке, которые регистрируются в соответствии с внутренними документами центрального депозитария и организатора торгов, и за исключением случаев, установленных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в редакции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18-1. Зачисление паев на лицевой счет паевого инвестиционного фонда для учета размещенных паев и списание паев с данного лицевого счета осуществляется на основании приказа управляющей компании паевого инвестиционного фонда, подтвержденного кастодианом. 
</w:t>
      </w:r>
      <w:r>
        <w:br/>
      </w:r>
      <w:r>
        <w:rPr>
          <w:rFonts w:ascii="Times New Roman"/>
          <w:b w:val="false"/>
          <w:i w:val="false"/>
          <w:color w:val="000000"/>
          <w:sz w:val="28"/>
        </w:rPr>
        <w:t>
     Зачисление паев на лицевой счет паевого инвестиционного фонда для учета размещенных паев осуществляется с одновременным зачислением аналогичного количества паев на лицевой счет держателя. 
</w:t>
      </w:r>
      <w:r>
        <w:br/>
      </w:r>
      <w:r>
        <w:rPr>
          <w:rFonts w:ascii="Times New Roman"/>
          <w:b w:val="false"/>
          <w:i w:val="false"/>
          <w:color w:val="000000"/>
          <w:sz w:val="28"/>
        </w:rPr>
        <w:t>
     Списание паев с лицевого счета паевого инвестиционного фонда для учета размещенных паев осуществляется при выкупе паев паевого инвестиционного фонда управляющей компанией данного фонда с одновременным списанием аналогичного количества паев с лицевого счета держателя.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18-1 -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18-2. Приказы держателей финансовых инструментов на регистрацию сделок должны содержать следующие сведения:
</w:t>
      </w:r>
      <w:r>
        <w:br/>
      </w:r>
      <w:r>
        <w:rPr>
          <w:rFonts w:ascii="Times New Roman"/>
          <w:b w:val="false"/>
          <w:i w:val="false"/>
          <w:color w:val="000000"/>
          <w:sz w:val="28"/>
        </w:rPr>
        <w:t>
     1) номер и дата приказа;
</w:t>
      </w:r>
      <w:r>
        <w:br/>
      </w:r>
      <w:r>
        <w:rPr>
          <w:rFonts w:ascii="Times New Roman"/>
          <w:b w:val="false"/>
          <w:i w:val="false"/>
          <w:color w:val="000000"/>
          <w:sz w:val="28"/>
        </w:rPr>
        <w:t>
     2) наименование эмитента или паевого инвестиционного фонда;
</w:t>
      </w:r>
      <w:r>
        <w:br/>
      </w:r>
      <w:r>
        <w:rPr>
          <w:rFonts w:ascii="Times New Roman"/>
          <w:b w:val="false"/>
          <w:i w:val="false"/>
          <w:color w:val="000000"/>
          <w:sz w:val="28"/>
        </w:rPr>
        <w:t>
     3) сведения о лицах, участвующих в сделке;
</w:t>
      </w:r>
      <w:r>
        <w:br/>
      </w:r>
      <w:r>
        <w:rPr>
          <w:rFonts w:ascii="Times New Roman"/>
          <w:b w:val="false"/>
          <w:i w:val="false"/>
          <w:color w:val="000000"/>
          <w:sz w:val="28"/>
        </w:rPr>
        <w:t>
     4) номера лицевых счетов лиц, участвующих в сделке;
</w:t>
      </w:r>
      <w:r>
        <w:br/>
      </w:r>
      <w:r>
        <w:rPr>
          <w:rFonts w:ascii="Times New Roman"/>
          <w:b w:val="false"/>
          <w:i w:val="false"/>
          <w:color w:val="000000"/>
          <w:sz w:val="28"/>
        </w:rPr>
        <w:t>
     5) вид, национальный идентификационный номер финансовых инструментов;
</w:t>
      </w:r>
      <w:r>
        <w:br/>
      </w:r>
      <w:r>
        <w:rPr>
          <w:rFonts w:ascii="Times New Roman"/>
          <w:b w:val="false"/>
          <w:i w:val="false"/>
          <w:color w:val="000000"/>
          <w:sz w:val="28"/>
        </w:rPr>
        <w:t>
     6) количество финансовых инструментов, предназначенных для проведения операции;
</w:t>
      </w:r>
      <w:r>
        <w:br/>
      </w:r>
      <w:r>
        <w:rPr>
          <w:rFonts w:ascii="Times New Roman"/>
          <w:b w:val="false"/>
          <w:i w:val="false"/>
          <w:color w:val="000000"/>
          <w:sz w:val="28"/>
        </w:rPr>
        <w:t>
     7) указание на вид сделки/операции в отношении финансовых инструментов;
</w:t>
      </w:r>
      <w:r>
        <w:br/>
      </w:r>
      <w:r>
        <w:rPr>
          <w:rFonts w:ascii="Times New Roman"/>
          <w:b w:val="false"/>
          <w:i w:val="false"/>
          <w:color w:val="000000"/>
          <w:sz w:val="28"/>
        </w:rPr>
        <w:t>
     8) сведения в отношении прав по финансовым инструментам, передаваемых залогодержателю при регистрации сделки залога;
</w:t>
      </w:r>
      <w:r>
        <w:br/>
      </w:r>
      <w:r>
        <w:rPr>
          <w:rFonts w:ascii="Times New Roman"/>
          <w:b w:val="false"/>
          <w:i w:val="false"/>
          <w:color w:val="000000"/>
          <w:sz w:val="28"/>
        </w:rPr>
        <w:t>
     9) сведения о цене одного финансового инструмента, являющегося предметом сделки.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18-2 -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редакции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18-3. Приказ на регистрацию сделки подписывается лицом, участвующим в сделке, или его представителем, заверяется печатью, если стороной сделки является юридическое лицо.
</w:t>
      </w:r>
      <w:r>
        <w:br/>
      </w:r>
      <w:r>
        <w:rPr>
          <w:rFonts w:ascii="Times New Roman"/>
          <w:b w:val="false"/>
          <w:i w:val="false"/>
          <w:color w:val="000000"/>
          <w:sz w:val="28"/>
        </w:rPr>
        <w:t>
     Приказ управляющей компании паевого инвестиционного фонда о регистрации сделки с паями подписывается ее представителем, заверяется печатью, а также подписывается руководителем подразделения кастодиана, обеспечивающего учет активов паевого инвестиционного фонда.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18-3 -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Регистрация сделки по обременению финансовых инструментов проводится номинальным держателем на основании встречных приказов держателя, чьи финансовые инструменты обременяются, и зарегистрированного лица, в пользу которого производится их обременение. При обременении финансовых инструментов на лицевом счете держателя финансовых инструментов делается запись о лице, в пользу которого осуществляется обременение, а финансовые инструменты с раздела "основной" зачисляются на раздел "обременение" данного лицевого счета. На лицевой счет зарегистрированного лица, в пользу которого произведено обременение, вносится запись о виде, количестве обремененных финансовых инструментов, их национальном идентификационном номере, а также о держателе, чьи финансовые инструменты обременены.
</w:t>
      </w:r>
      <w:r>
        <w:br/>
      </w:r>
      <w:r>
        <w:rPr>
          <w:rFonts w:ascii="Times New Roman"/>
          <w:b w:val="false"/>
          <w:i w:val="false"/>
          <w:color w:val="000000"/>
          <w:sz w:val="28"/>
        </w:rPr>
        <w:t>
     Номинальный держатель регистрирует сделку по снятию обременения финансовых инструментов в системе учета номинального держания на основании встречных приказов о снятии обременения лиц, участвовавших в сделке. При регистрации сделки по снятию обременения финансовые инструменты с раздела "обременение" переводятся на раздел "основной" лицевого счета держателя финансовых инструментов. На лицевом счете зарегистрированного лица запись об обременении финансовых инструментов аннулируется. 
</w:t>
      </w:r>
      <w:r>
        <w:br/>
      </w:r>
      <w:r>
        <w:rPr>
          <w:rFonts w:ascii="Times New Roman"/>
          <w:b w:val="false"/>
          <w:i w:val="false"/>
          <w:color w:val="000000"/>
          <w:sz w:val="28"/>
        </w:rPr>
        <w:t>
     Порядок регистрации сделки по обременению ценных бумаг в системе учета центрального депозитария устанавливается сводом правил центрального депозитария.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Операции по блокированию финансовых инструментов и снятию блокирования проводятся номинальным держателем в системе учета номинального держания на основании соответствующих документов государственных органов, обладающих таким правом в порядке, установленном законодательством Республики Казахстан. При проведении операции по блокированию финансовые инструменты с раздела "основной" переводятся на раздел "блокирование" лицевого счета. При проведении операции по снятию блокирования финансовые инструменты с раздела "блокирование" переводятся на раздел "основной".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20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Операция "репо" регистрируется номинальным держателем на основании встречных приказов на регистрацию сделки. 
</w:t>
      </w:r>
      <w:r>
        <w:br/>
      </w:r>
      <w:r>
        <w:rPr>
          <w:rFonts w:ascii="Times New Roman"/>
          <w:b w:val="false"/>
          <w:i w:val="false"/>
          <w:color w:val="000000"/>
          <w:sz w:val="28"/>
        </w:rPr>
        <w:t>
     Операция "репо" подразделяется на:
</w:t>
      </w:r>
      <w:r>
        <w:br/>
      </w:r>
      <w:r>
        <w:rPr>
          <w:rFonts w:ascii="Times New Roman"/>
          <w:b w:val="false"/>
          <w:i w:val="false"/>
          <w:color w:val="000000"/>
          <w:sz w:val="28"/>
        </w:rPr>
        <w:t>
     открытие "репо" - сделка купли-продажи финансовых инструментов, предполагающая перевод денег в сумме данной сделки от одного из участников операции "репо" второму и передачу определенного количества финансовых инструментов вторым участником операции "репо" первому;
</w:t>
      </w:r>
      <w:r>
        <w:br/>
      </w:r>
      <w:r>
        <w:rPr>
          <w:rFonts w:ascii="Times New Roman"/>
          <w:b w:val="false"/>
          <w:i w:val="false"/>
          <w:color w:val="000000"/>
          <w:sz w:val="28"/>
        </w:rPr>
        <w:t>
     закрытие "репо" - сделка купли-продажи финансовых инструментов, как и в случае сделки открытия "репо", предполагающая передачу денег в сумме данной сделки от второго участника операции "репо" первому и возврат того же, что и в сделке открытия "репо", количества финансовых инструментов того же выпуска первым участником операции "репо" второму.
</w:t>
      </w:r>
      <w:r>
        <w:br/>
      </w:r>
      <w:r>
        <w:rPr>
          <w:rFonts w:ascii="Times New Roman"/>
          <w:b w:val="false"/>
          <w:i w:val="false"/>
          <w:color w:val="000000"/>
          <w:sz w:val="28"/>
        </w:rPr>
        <w:t>
     При проведении открытия "репо" между клиентами одного номинального держателя, финансовые инструменты переводятся с раздела "основной" лицевого счета продавца на раздел "основной" лицевого счета покупателя. При проведении закрытия "репо" между клиентами одного номинального держателя финансовые инструменты переводятся с раздела "основной" лицевого счета покупателя на раздел "основной" лицевого счета продавца.
</w:t>
      </w:r>
      <w:r>
        <w:br/>
      </w:r>
      <w:r>
        <w:rPr>
          <w:rFonts w:ascii="Times New Roman"/>
          <w:b w:val="false"/>
          <w:i w:val="false"/>
          <w:color w:val="000000"/>
          <w:sz w:val="28"/>
        </w:rPr>
        <w:t>
     При проведении открытия "репо" между клиентом номинального держателя, являющимся продавцом, и лицом, не являющимся клиентом данного номинального держателя, финансовые инструменты списываются с раздела "основной" лицевого счета продавца. При проведении закрытия "репо" между клиентом номинального держателя, являющимся продавцом, и лицом, не являющимся клиентом данного номинального держателя, финансовые инструменты зачисляются на раздел "основной" лицевого счета продавца.
</w:t>
      </w:r>
      <w:r>
        <w:br/>
      </w:r>
      <w:r>
        <w:rPr>
          <w:rFonts w:ascii="Times New Roman"/>
          <w:b w:val="false"/>
          <w:i w:val="false"/>
          <w:color w:val="000000"/>
          <w:sz w:val="28"/>
        </w:rPr>
        <w:t>
     При проведении открытия "репо" между клиентом номинального держателя, являющимся покупателем, и лицом, не являющимся клиентом данного номинального держателя, финансовые инструменты зачисляются на раздел "основной" лицевого счета покупателя. При проведении закрытия "репо" между клиентом номинального держателя, являющимся покупателем, и лицом, не являющимся клиентом данного номинального держателя, финансовые инструменты списываются с раздела "основной" лицевого счета покупателя.
</w:t>
      </w:r>
      <w:r>
        <w:br/>
      </w:r>
      <w:r>
        <w:rPr>
          <w:rFonts w:ascii="Times New Roman"/>
          <w:b w:val="false"/>
          <w:i w:val="false"/>
          <w:color w:val="000000"/>
          <w:sz w:val="28"/>
        </w:rPr>
        <w:t>
     При проведении операции "репо" автоматическим способом на торговой площадке фондовой биржи по сделке, заключенной клиентами одного номинального держателя, финансовые инструменты переводятся с раздела "основной" лицевого счета продавца на раздел "репо" лицевого счета покупателя. 
</w:t>
      </w:r>
      <w:r>
        <w:br/>
      </w:r>
      <w:r>
        <w:rPr>
          <w:rFonts w:ascii="Times New Roman"/>
          <w:b w:val="false"/>
          <w:i w:val="false"/>
          <w:color w:val="000000"/>
          <w:sz w:val="28"/>
        </w:rPr>
        <w:t>
     При проведении операции "репо" автоматическим способом на торговой площадке фондовой биржи по сделке, заключенной между клиентом номинального держателя и лицом, не являющимся клиентом данного номинального держателя, ценные бумаги списываются с раздела "основной" лицевого счета продавца или зачисляются на раздел "репо" лицевого счета покупателя.
</w:t>
      </w:r>
      <w:r>
        <w:br/>
      </w:r>
      <w:r>
        <w:rPr>
          <w:rFonts w:ascii="Times New Roman"/>
          <w:b w:val="false"/>
          <w:i w:val="false"/>
          <w:color w:val="000000"/>
          <w:sz w:val="28"/>
        </w:rPr>
        <w:t>
     Порядок проведения операций "репо" в системе учета центрального депозитария определяется сводом правил центрального депозитария.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21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Операция аннулирования выпуска акций проводится номинальным держателем после получения уведомления государственного органа, осуществляющего регулирование и надзор за рынком ценных бумаг, об аннулировании выпуска акций путем списания акций со всех разделов всех лицевых счетов.
</w:t>
      </w:r>
      <w:r>
        <w:br/>
      </w:r>
      <w:r>
        <w:rPr>
          <w:rFonts w:ascii="Times New Roman"/>
          <w:b w:val="false"/>
          <w:i w:val="false"/>
          <w:color w:val="000000"/>
          <w:sz w:val="28"/>
        </w:rPr>
        <w:t>
     Операция по погашению финансовых инструментов проводится номинальным держателем путем списания финансовых инструментов со всех разделов лицевого счета на основании уведомления центрального депозитария.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Операция по закрытию лицевого счета проводится номинальным держателем на основании приказа на закрытие лицевого счета или при отсутствии на данном лицевом счете финансовых инструментов в течение шести месяцев. При закрытии лицевого счета клиенту направляется соответствующее уведомление.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23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Проведение информационной операции осуществляется номинальным держателем на основании письменных распоряжений (приказов) держателя финансовых инструментов или запросов государственных органов, в случаях, предусмотренных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24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Выписка с лицевого счета, за исключением лицевого счета управляющего инвестиционным портфелем, содержит следующие сведения:
</w:t>
      </w:r>
      <w:r>
        <w:br/>
      </w:r>
      <w:r>
        <w:rPr>
          <w:rFonts w:ascii="Times New Roman"/>
          <w:b w:val="false"/>
          <w:i w:val="false"/>
          <w:color w:val="000000"/>
          <w:sz w:val="28"/>
        </w:rPr>
        <w:t>
     1) номер лицевого счета;
</w:t>
      </w:r>
      <w:r>
        <w:br/>
      </w:r>
      <w:r>
        <w:rPr>
          <w:rFonts w:ascii="Times New Roman"/>
          <w:b w:val="false"/>
          <w:i w:val="false"/>
          <w:color w:val="000000"/>
          <w:sz w:val="28"/>
        </w:rPr>
        <w:t>
     2) наименование юридического лица (фамилию, имя, при наличии отчество физического лица) держателя финансовых инструментов;
</w:t>
      </w:r>
      <w:r>
        <w:br/>
      </w:r>
      <w:r>
        <w:rPr>
          <w:rFonts w:ascii="Times New Roman"/>
          <w:b w:val="false"/>
          <w:i w:val="false"/>
          <w:color w:val="000000"/>
          <w:sz w:val="28"/>
        </w:rPr>
        <w:t>
     3) номер и дату государственной (пере)регистрации юридического лица (наименование и реквизиты документа, удостоверяющего личность физического лица);
</w:t>
      </w:r>
      <w:r>
        <w:br/>
      </w:r>
      <w:r>
        <w:rPr>
          <w:rFonts w:ascii="Times New Roman"/>
          <w:b w:val="false"/>
          <w:i w:val="false"/>
          <w:color w:val="000000"/>
          <w:sz w:val="28"/>
        </w:rPr>
        <w:t>
     4) наименование эмитента и его место нахождения либо наименование паевого инвестиционного фонда, а также управляющей компании данного фонда и ее место нахождения;
</w:t>
      </w:r>
      <w:r>
        <w:br/>
      </w:r>
      <w:r>
        <w:rPr>
          <w:rFonts w:ascii="Times New Roman"/>
          <w:b w:val="false"/>
          <w:i w:val="false"/>
          <w:color w:val="000000"/>
          <w:sz w:val="28"/>
        </w:rPr>
        <w:t>
     5) виды и идентификационные номера финансовых инструментов;
</w:t>
      </w:r>
      <w:r>
        <w:br/>
      </w:r>
      <w:r>
        <w:rPr>
          <w:rFonts w:ascii="Times New Roman"/>
          <w:b w:val="false"/>
          <w:i w:val="false"/>
          <w:color w:val="000000"/>
          <w:sz w:val="28"/>
        </w:rPr>
        <w:t>
     6) дата погашения облигаций;
</w:t>
      </w:r>
      <w:r>
        <w:br/>
      </w:r>
      <w:r>
        <w:rPr>
          <w:rFonts w:ascii="Times New Roman"/>
          <w:b w:val="false"/>
          <w:i w:val="false"/>
          <w:color w:val="000000"/>
          <w:sz w:val="28"/>
        </w:rPr>
        <w:t>
     7) общее количество финансовых инструментов определенного вида с указанием количества обремененных и (или) блокированных и (или) переданных в репо, зарегистрированных на лицевом счете по состоянию на дату время составления выписки; 
</w:t>
      </w:r>
      <w:r>
        <w:br/>
      </w:r>
      <w:r>
        <w:rPr>
          <w:rFonts w:ascii="Times New Roman"/>
          <w:b w:val="false"/>
          <w:i w:val="false"/>
          <w:color w:val="000000"/>
          <w:sz w:val="28"/>
        </w:rPr>
        <w:t>
     8) наименование номинального держателя, номер лицензии на осуществление профессиональной деятельности на рынке ценных бумаг, его юридический адрес, телефон, факс;
</w:t>
      </w:r>
      <w:r>
        <w:br/>
      </w:r>
      <w:r>
        <w:rPr>
          <w:rFonts w:ascii="Times New Roman"/>
          <w:b w:val="false"/>
          <w:i w:val="false"/>
          <w:color w:val="000000"/>
          <w:sz w:val="28"/>
        </w:rPr>
        <w:t>
     9) время и дата, по состоянию на которые сформирована выписка с лицевого счета.
</w:t>
      </w:r>
      <w:r>
        <w:br/>
      </w:r>
      <w:r>
        <w:rPr>
          <w:rFonts w:ascii="Times New Roman"/>
          <w:b w:val="false"/>
          <w:i w:val="false"/>
          <w:color w:val="000000"/>
          <w:sz w:val="28"/>
        </w:rPr>
        <w:t>
     Выписка с лицевого счета подписывается руководящим работником, осуществляющим контроль за деятельностью структурного подразделения номинального держателя, и обладающего правом подписи документов, или лицом, его замещающим, и заверяется печатью.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с дополнениями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Держатель
</w:t>
      </w:r>
      <w:r>
        <w:rPr>
          <w:rFonts w:ascii="Times New Roman"/>
          <w:b/>
          <w:i w:val="false"/>
          <w:color w:val="000000"/>
          <w:sz w:val="28"/>
        </w:rPr>
        <w:t>
</w:t>
      </w:r>
      <w:r>
        <w:rPr>
          <w:rFonts w:ascii="Times New Roman"/>
          <w:b w:val="false"/>
          <w:i w:val="false"/>
          <w:color w:val="000000"/>
          <w:sz w:val="28"/>
        </w:rPr>
        <w:t>
финансовых инструментов обращается к регистратору или центральному депозитарию в целях определения процентного соотношения количества финансовых инструментов, принадлежащих держателю
</w:t>
      </w:r>
      <w:r>
        <w:rPr>
          <w:rFonts w:ascii="Times New Roman"/>
          <w:b/>
          <w:i w:val="false"/>
          <w:color w:val="000000"/>
          <w:sz w:val="28"/>
        </w:rPr>
        <w:t>
</w:t>
      </w:r>
      <w:r>
        <w:rPr>
          <w:rFonts w:ascii="Times New Roman"/>
          <w:b w:val="false"/>
          <w:i w:val="false"/>
          <w:color w:val="000000"/>
          <w:sz w:val="28"/>
        </w:rPr>
        <w:t>
финансовых инструментов, к количеству размещенных финансовых инструментов (голосующих акций) эмитента.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в редакции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26-1. Центральный депозитарий направляет сведения об изменениях по лицевым счетам эмитентов, паевых инвестиционных фондов соответствующим регистраторам в день, следующий за днем проведения операции по лицевым счетам в системе учета номинального держания.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26-1 -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Операция по лицевому счету проводится номинальным держателем в течение трех календарных дней. Информационная операция по составлению и выдаче выписки с лицевого счета проводится номинальным держателем в течение двух календарных дней.
</w:t>
      </w:r>
      <w:r>
        <w:br/>
      </w:r>
      <w:r>
        <w:rPr>
          <w:rFonts w:ascii="Times New Roman"/>
          <w:b w:val="false"/>
          <w:i w:val="false"/>
          <w:color w:val="000000"/>
          <w:sz w:val="28"/>
        </w:rPr>
        <w:t>
     28. Номинальный держатель отказывает в исполнении приказа, в случае, если приказ на регистрацию сделки или отражение операции
</w:t>
      </w:r>
      <w:r>
        <w:rPr>
          <w:rFonts w:ascii="Times New Roman"/>
          <w:b/>
          <w:i w:val="false"/>
          <w:color w:val="000000"/>
          <w:sz w:val="28"/>
        </w:rPr>
        <w:t>
</w:t>
      </w:r>
      <w:r>
        <w:rPr>
          <w:rFonts w:ascii="Times New Roman"/>
          <w:b w:val="false"/>
          <w:i w:val="false"/>
          <w:color w:val="000000"/>
          <w:sz w:val="28"/>
        </w:rPr>
        <w:t>
в системе учета номинального держания
</w:t>
      </w:r>
      <w:r>
        <w:rPr>
          <w:rFonts w:ascii="Times New Roman"/>
          <w:b/>
          <w:i w:val="false"/>
          <w:color w:val="000000"/>
          <w:sz w:val="28"/>
        </w:rPr>
        <w:t>
</w:t>
      </w:r>
      <w:r>
        <w:rPr>
          <w:rFonts w:ascii="Times New Roman"/>
          <w:b w:val="false"/>
          <w:i w:val="false"/>
          <w:color w:val="000000"/>
          <w:sz w:val="28"/>
        </w:rPr>
        <w:t>
противоречит законодательству Республики Казахстан или приказ не соответствует требованиям, установленным внутренним документом номинального держателя или Сводом правил центрального депозитария. Отказ от исполнения приказа составляется номинальным держателем в письменной форме с указанием причины отказа и подписывается руководящим работником, осуществляющим контроль за деятельностью структурного подразделения номинального держателя, и обладающего правом подписи документов, или лицом, его замещающим, и заверяется печатью.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28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2-1. Порядок раскрытия информации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клиентах номинального держателя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главой 2-1 -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п.3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28-1. Номинальный держатель в течение двадцати четырех часов с момента получения запроса от уполномоченного органа по регулированию и надзору финансового рынка и финансовых организаций (далее - уполномоченный орган), центрального депозитария, регистратора или эмитента, представляет запросившему лицу сведения о клиентах, финансовые инструменты которых находятся в его номинальном держании.
</w:t>
      </w:r>
      <w:r>
        <w:br/>
      </w:r>
      <w:r>
        <w:rPr>
          <w:rFonts w:ascii="Times New Roman"/>
          <w:b w:val="false"/>
          <w:i w:val="false"/>
          <w:color w:val="000000"/>
          <w:sz w:val="28"/>
        </w:rPr>
        <w:t>
      28-2. Информация, содержащая сведения о клиентах, составляется номинальным держателем на дату получения требования регистратора, центрального депозитария и эмитента, если в указанном требовании не определена иная дата.
</w:t>
      </w:r>
      <w:r>
        <w:br/>
      </w:r>
      <w:r>
        <w:rPr>
          <w:rFonts w:ascii="Times New Roman"/>
          <w:b w:val="false"/>
          <w:i w:val="false"/>
          <w:color w:val="000000"/>
          <w:sz w:val="28"/>
        </w:rPr>
        <w:t>
      28-3. По согласованию с регистратором, центральным депозитарием и эмитентом номинальный держатель представляет информацию о клиентах на бумажных или электронных носителях.
</w:t>
      </w:r>
      <w:r>
        <w:br/>
      </w:r>
      <w:r>
        <w:rPr>
          <w:rFonts w:ascii="Times New Roman"/>
          <w:b w:val="false"/>
          <w:i w:val="false"/>
          <w:color w:val="000000"/>
          <w:sz w:val="28"/>
        </w:rPr>
        <w:t>
      28-4. Список держателей акций содержит список акционеров, чьи акции находятся в номинальном держании с указанием количества принадлежащих им акций, а также информацию о количестве акций, принадлежащих собственникам, сведения о которых отсутствуют в системе учета центрального депозитария.
</w:t>
      </w:r>
      <w:r>
        <w:br/>
      </w:r>
      <w:r>
        <w:rPr>
          <w:rFonts w:ascii="Times New Roman"/>
          <w:b w:val="false"/>
          <w:i w:val="false"/>
          <w:color w:val="000000"/>
          <w:sz w:val="28"/>
        </w:rPr>
        <w:t>
      28-5. Центральный депозитарий не позднее дня, следующего за днем получения запроса от уполномоченного органа, регистратора или эмитента, на основании сведений, имеющихся в системе учета центрального депозитария, представляет запросившему лицу информацию, указанную в запросе.
</w:t>
      </w:r>
      <w:r>
        <w:br/>
      </w:r>
      <w:r>
        <w:rPr>
          <w:rFonts w:ascii="Times New Roman"/>
          <w:b w:val="false"/>
          <w:i w:val="false"/>
          <w:color w:val="000000"/>
          <w:sz w:val="28"/>
        </w:rPr>
        <w:t>
      28-6. В случае если сведений, содержащихся в системе учета центрального депозитария, недостаточно для подготовки ответа на запрос уполномоченного органа, центральный депозитарий в течение пяти рабочих дней, собирает необходимую информацию и представляет ее уполномоченному органу.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Вопросы, не урегулированные настоящими Правилами, подлежат разрешению в соответствии с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