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bf2f" w14:textId="05bb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согласовании проекта Генерального плана развития города Алматы на период до 2020 года</w:t>
      </w:r>
    </w:p>
    <w:p>
      <w:pPr>
        <w:spacing w:after="0"/>
        <w:ind w:left="0"/>
        <w:jc w:val="both"/>
      </w:pPr>
      <w:r>
        <w:rPr>
          <w:rFonts w:ascii="Times New Roman"/>
          <w:b w:val="false"/>
          <w:i w:val="false"/>
          <w:color w:val="000000"/>
          <w:sz w:val="28"/>
        </w:rPr>
        <w:t>Решение ХIII сессии Алматинского городского Маслихата II созыва от 31 октября 2001 года. Зарегистрировано Управлением юстиции города Алматы 14 ноября 2001 года за № 402</w:t>
      </w:r>
    </w:p>
    <w:p>
      <w:pPr>
        <w:spacing w:after="0"/>
        <w:ind w:left="0"/>
        <w:jc w:val="both"/>
      </w:pPr>
      <w:r>
        <w:rPr>
          <w:rFonts w:ascii="Times New Roman"/>
          <w:b w:val="false"/>
          <w:i w:val="false"/>
          <w:color w:val="000000"/>
          <w:sz w:val="28"/>
        </w:rPr>
        <w:t>
      В соответствии со статьей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и представлением акима города Алматы, Алматинский городской Маслихат II-го созыва решил:
</w:t>
      </w:r>
      <w:r>
        <w:br/>
      </w:r>
      <w:r>
        <w:rPr>
          <w:rFonts w:ascii="Times New Roman"/>
          <w:b w:val="false"/>
          <w:i w:val="false"/>
          <w:color w:val="000000"/>
          <w:sz w:val="28"/>
        </w:rPr>
        <w:t>
      1. Согласовать проект Генерального плана развития города Алматы на период до 2020 года ( приложения №№ 1, 2, 3) и внести проект Генерального плана развития города Алматы на период до 2020 года в Правительство Республики Казахстан для утверждения. 
</w:t>
      </w:r>
      <w:r>
        <w:br/>
      </w:r>
      <w:r>
        <w:rPr>
          <w:rFonts w:ascii="Times New Roman"/>
          <w:b w:val="false"/>
          <w:i w:val="false"/>
          <w:color w:val="000000"/>
          <w:sz w:val="28"/>
        </w:rPr>
        <w:t>
      2. Рекомендовать акиму города Алматы: 
</w:t>
      </w:r>
      <w:r>
        <w:br/>
      </w:r>
      <w:r>
        <w:rPr>
          <w:rFonts w:ascii="Times New Roman"/>
          <w:b w:val="false"/>
          <w:i w:val="false"/>
          <w:color w:val="000000"/>
          <w:sz w:val="28"/>
        </w:rPr>
        <w:t>
      - ежегодно предусматривать средства в бюджете города на проектно-планировочные работы по реализации Генерального плана развития территории города; 
</w:t>
      </w:r>
      <w:r>
        <w:br/>
      </w:r>
      <w:r>
        <w:rPr>
          <w:rFonts w:ascii="Times New Roman"/>
          <w:b w:val="false"/>
          <w:i w:val="false"/>
          <w:color w:val="000000"/>
          <w:sz w:val="28"/>
        </w:rPr>
        <w:t>
      - активизировать работу по привлечению иностранных и отечественных инвесторов для их участия в реализации Генерального плана развития территории города Алматы. 
</w:t>
      </w:r>
      <w:r>
        <w:br/>
      </w:r>
      <w:r>
        <w:rPr>
          <w:rFonts w:ascii="Times New Roman"/>
          <w:b w:val="false"/>
          <w:i w:val="false"/>
          <w:color w:val="000000"/>
          <w:sz w:val="28"/>
        </w:rPr>
        <w:t>
      С целью повышения качества проектных работ и застройки территории города эти работы проводить на конкурсной основе через тендер. 
</w:t>
      </w:r>
      <w:r>
        <w:br/>
      </w:r>
      <w:r>
        <w:rPr>
          <w:rFonts w:ascii="Times New Roman"/>
          <w:b w:val="false"/>
          <w:i w:val="false"/>
          <w:color w:val="000000"/>
          <w:sz w:val="28"/>
        </w:rPr>
        <w:t>
      3. Департаменту архитектуры и градостроительства города Алматы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"Об архитектурной, градостроительной и строительной деятельности в Республике Казахстан" произвести корректировку правил застройки на территории города. 4. Контроль за выполнением настоящего решения возложить на постоянную комиссию по экономике и вопросам развития производства (Шелипанов А.И.) и первого заместителя акима города (Заяц Я.И.).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ХIII-й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К.Абдрахманов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Ж.Турегельдинов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1
</w:t>
      </w:r>
      <w:r>
        <w:br/>
      </w:r>
      <w:r>
        <w:rPr>
          <w:rFonts w:ascii="Times New Roman"/>
          <w:b w:val="false"/>
          <w:i w:val="false"/>
          <w:color w:val="000000"/>
          <w:sz w:val="28"/>
        </w:rPr>
        <w:t>
к Решению ХIII-й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от 31 октября 2001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Генеральный план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w:t>
      </w:r>
    </w:p>
    <w:p>
      <w:pPr>
        <w:spacing w:after="0"/>
        <w:ind w:left="0"/>
        <w:jc w:val="both"/>
      </w:pPr>
      <w:r>
        <w:rPr>
          <w:rFonts w:ascii="Times New Roman"/>
          <w:b w:val="false"/>
          <w:i w:val="false"/>
          <w:color w:val="000000"/>
          <w:sz w:val="28"/>
        </w:rPr>
        <w:t>
Приложение № 2
</w:t>
      </w:r>
      <w:r>
        <w:br/>
      </w:r>
      <w:r>
        <w:rPr>
          <w:rFonts w:ascii="Times New Roman"/>
          <w:b w:val="false"/>
          <w:i w:val="false"/>
          <w:color w:val="000000"/>
          <w:sz w:val="28"/>
        </w:rPr>
        <w:t>
к Решению ХIII-й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от 31 октября 2001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генерального плана развития Алматы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период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Главная цель генерального плана
</w:t>
      </w:r>
      <w:r>
        <w:rPr>
          <w:rFonts w:ascii="Times New Roman"/>
          <w:b w:val="false"/>
          <w:i w:val="false"/>
          <w:color w:val="000000"/>
          <w:sz w:val="28"/>
        </w:rPr>
        <w:t>
 - проведение комплекса градостроительных мероприятий, направленных на создание экологически благоприятной, безопасной и социально удобной жизненной среды. Основная архитектурно-градостроительная идея: сохранить и формировать облик города Алматы - как "города-сада". 
</w:t>
      </w:r>
      <w:r>
        <w:br/>
      </w:r>
      <w:r>
        <w:rPr>
          <w:rFonts w:ascii="Times New Roman"/>
          <w:b w:val="false"/>
          <w:i w:val="false"/>
          <w:color w:val="000000"/>
          <w:sz w:val="28"/>
        </w:rPr>
        <w:t>
      Несмотря на перенос столичных функций в г.Астану, город Алматы остается крупнейшим городом республики, с сохранением функций центра науки и образования, международного туризма, производства высоких технологий, финансово-предпринимательской деятельности. 
</w:t>
      </w:r>
      <w:r>
        <w:br/>
      </w:r>
      <w:r>
        <w:rPr>
          <w:rFonts w:ascii="Times New Roman"/>
          <w:b w:val="false"/>
          <w:i w:val="false"/>
          <w:color w:val="000000"/>
          <w:sz w:val="28"/>
        </w:rPr>
        <w:t>
      27 июля 2001 года Правительством Казахстана одобрена Концепция развития города Алматы как регионального финансового центра. 
</w:t>
      </w:r>
      <w:r>
        <w:br/>
      </w:r>
      <w:r>
        <w:rPr>
          <w:rFonts w:ascii="Times New Roman"/>
          <w:b w:val="false"/>
          <w:i w:val="false"/>
          <w:color w:val="000000"/>
          <w:sz w:val="28"/>
        </w:rPr>
        <w:t>
      Развивающаяся индустрия туризма и, главное, наличие огромного рекреационного потенциала города и прилегающих территорий для организаций различных видов отдыха предопределяют развитие Алматы как центра международного туризма.
</w:t>
      </w:r>
    </w:p>
    <w:p>
      <w:pPr>
        <w:spacing w:after="0"/>
        <w:ind w:left="0"/>
        <w:jc w:val="both"/>
      </w:pPr>
      <w:r>
        <w:rPr>
          <w:rFonts w:ascii="Times New Roman"/>
          <w:b w:val="false"/>
          <w:i w:val="false"/>
          <w:color w:val="000000"/>
          <w:sz w:val="28"/>
        </w:rPr>
        <w:t>
</w:t>
      </w:r>
      <w:r>
        <w:rPr>
          <w:rFonts w:ascii="Times New Roman"/>
          <w:b/>
          <w:i w:val="false"/>
          <w:color w:val="000000"/>
          <w:sz w:val="28"/>
        </w:rPr>
        <w:t>
Индикаторы социально-экономического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Прогнозная численность населения города по генплану на 2020 год составит 1500 тыс. человек, в том числе постоянно проживающего населения -1300 тыс. человек. 
</w:t>
      </w:r>
      <w:r>
        <w:br/>
      </w:r>
      <w:r>
        <w:rPr>
          <w:rFonts w:ascii="Times New Roman"/>
          <w:b w:val="false"/>
          <w:i w:val="false"/>
          <w:color w:val="000000"/>
          <w:sz w:val="28"/>
        </w:rPr>
        <w:t>
      Экономическими индикаторами эффективности основных направлений градостроительного развития Алматы является увеличение к 2020 году по сравнению с 1999 годом: 
</w:t>
      </w:r>
      <w:r>
        <w:br/>
      </w:r>
      <w:r>
        <w:rPr>
          <w:rFonts w:ascii="Times New Roman"/>
          <w:b w:val="false"/>
          <w:i w:val="false"/>
          <w:color w:val="000000"/>
          <w:sz w:val="28"/>
        </w:rPr>
        <w:t>
      - объемов производства валового регионального продукта в 3 раза; 
</w:t>
      </w:r>
      <w:r>
        <w:br/>
      </w:r>
      <w:r>
        <w:rPr>
          <w:rFonts w:ascii="Times New Roman"/>
          <w:b w:val="false"/>
          <w:i w:val="false"/>
          <w:color w:val="000000"/>
          <w:sz w:val="28"/>
        </w:rPr>
        <w:t>
      - объемов капитальных вложений в сопоставимых ценах в 2,5 раза; 
</w:t>
      </w:r>
      <w:r>
        <w:br/>
      </w:r>
      <w:r>
        <w:rPr>
          <w:rFonts w:ascii="Times New Roman"/>
          <w:b w:val="false"/>
          <w:i w:val="false"/>
          <w:color w:val="000000"/>
          <w:sz w:val="28"/>
        </w:rPr>
        <w:t>
      - доходов на душу населения более чем в 2 раза. 
</w:t>
      </w:r>
      <w:r>
        <w:br/>
      </w:r>
      <w:r>
        <w:rPr>
          <w:rFonts w:ascii="Times New Roman"/>
          <w:b w:val="false"/>
          <w:i w:val="false"/>
          <w:color w:val="000000"/>
          <w:sz w:val="28"/>
        </w:rPr>
        <w:t>
      Основные направления комплексного формирования жилой среды предусматривают доведение средней обеспеченности жильем в среднем 22 м2 на 1 человека, с увеличением всего жилищного фонда города до 27,5 млн. м2. Строительство будет осуществляться как на свободных территориях, так за счет сноса ветхого жилья. Учитывая возросшие потребности, значительно возрастает доля индивидуального жилищного строительства. Намечается реконструкция жилых районов первых лет массового крупнопанельного домостроения. 
</w:t>
      </w:r>
      <w:r>
        <w:br/>
      </w:r>
      <w:r>
        <w:rPr>
          <w:rFonts w:ascii="Times New Roman"/>
          <w:b w:val="false"/>
          <w:i w:val="false"/>
          <w:color w:val="000000"/>
          <w:sz w:val="28"/>
        </w:rPr>
        <w:t>
      Предусматривается увеличение фонда объектов обслуживания с 2 до 5 млн. кв. метров, в том числе объектов социально гарантированного значения до нормативного уровня каждого вида обслуживания. 
</w:t>
      </w:r>
      <w:r>
        <w:br/>
      </w:r>
      <w:r>
        <w:rPr>
          <w:rFonts w:ascii="Times New Roman"/>
          <w:b w:val="false"/>
          <w:i w:val="false"/>
          <w:color w:val="000000"/>
          <w:sz w:val="28"/>
        </w:rPr>
        <w:t>
      Намечается увеличение емкости туристических учреждений до 24, 6 тыс. мест, в том числе гостиничной сети с 5,8 до 7,8 тыс. мест.
</w:t>
      </w:r>
    </w:p>
    <w:p>
      <w:pPr>
        <w:spacing w:after="0"/>
        <w:ind w:left="0"/>
        <w:jc w:val="both"/>
      </w:pPr>
      <w:r>
        <w:rPr>
          <w:rFonts w:ascii="Times New Roman"/>
          <w:b w:val="false"/>
          <w:i w:val="false"/>
          <w:color w:val="000000"/>
          <w:sz w:val="28"/>
        </w:rPr>
        <w:t>
</w:t>
      </w:r>
      <w:r>
        <w:rPr>
          <w:rFonts w:ascii="Times New Roman"/>
          <w:b/>
          <w:i w:val="false"/>
          <w:color w:val="000000"/>
          <w:sz w:val="28"/>
        </w:rPr>
        <w:t>
Архитектурно-планировочное решение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Градостроительное развитие город получает за счет освоения новых территорий в пределах границ города вдоль главных планировочных осей: в западном направлении - пр. Райымбека - автодороги Алматы - Бишкек, в восточном - Талгарского трактов, в северном - Капчагайского шоссе, в восточном - Талгарского тракта, а также за счет реконструкции застроенных территорий. 
</w:t>
      </w:r>
      <w:r>
        <w:br/>
      </w:r>
      <w:r>
        <w:rPr>
          <w:rFonts w:ascii="Times New Roman"/>
          <w:b w:val="false"/>
          <w:i w:val="false"/>
          <w:color w:val="000000"/>
          <w:sz w:val="28"/>
        </w:rPr>
        <w:t>
      Основой формирования перспективной планировочной структуры города являются природно-экологический и транспортный каркасы. 
</w:t>
      </w:r>
      <w:r>
        <w:br/>
      </w:r>
      <w:r>
        <w:rPr>
          <w:rFonts w:ascii="Times New Roman"/>
          <w:b w:val="false"/>
          <w:i w:val="false"/>
          <w:color w:val="000000"/>
          <w:sz w:val="28"/>
        </w:rPr>
        <w:t>
      На территории города выделены функциональные зоны: общественного, жилого, производственного, природного, специализированного и смешанного назначений. 
</w:t>
      </w:r>
      <w:r>
        <w:br/>
      </w:r>
      <w:r>
        <w:rPr>
          <w:rFonts w:ascii="Times New Roman"/>
          <w:b w:val="false"/>
          <w:i w:val="false"/>
          <w:color w:val="000000"/>
          <w:sz w:val="28"/>
        </w:rPr>
        <w:t>
      Система общественных центров представлена городским и местным уровнями обслуживания, которая включает: ядро общегородского центра, многофункциональные узлы общегородского центра 1-го уровня (пр. Абая и р. Каргалинка, район железнодорожной станции Алматы 1, вдоль Кульджинского тракта на востоке), примагистральные территории вдоль основных магистралей (Абая, Райымбека, Сейфуллина, Толе би, Жансугурова, Шемякина, Жандосова, Фурманова, Достык), узлы СОЦ 2-го уровня, специализированные центры и местные центры общественного обслуживания. 
</w:t>
      </w:r>
      <w:r>
        <w:br/>
      </w:r>
      <w:r>
        <w:rPr>
          <w:rFonts w:ascii="Times New Roman"/>
          <w:b w:val="false"/>
          <w:i w:val="false"/>
          <w:color w:val="000000"/>
          <w:sz w:val="28"/>
        </w:rPr>
        <w:t>
      Ядро общегородского центра будет формироваться, как историческая зона, с максимальным сохранением сложившегося архитектурного облика застройки. Генеральным планом предлагается провести мероприятия по дальнейшему сохранению историко-культурного фонда, на базе исторических и археологических памятников создать культурно-познавательные центры: "Национально-этнографический" (в районе боролдайских сакских курганов) и "Древний Алмату" (при въезде в город с восточной стороны). 
</w:t>
      </w:r>
      <w:r>
        <w:br/>
      </w:r>
      <w:r>
        <w:rPr>
          <w:rFonts w:ascii="Times New Roman"/>
          <w:b w:val="false"/>
          <w:i w:val="false"/>
          <w:color w:val="000000"/>
          <w:sz w:val="28"/>
        </w:rPr>
        <w:t>
      Общественно-деловая застройка будет продолжать формироваться вдоль главных магистралей города - проспектов Абая, Райымбека, улиц Жансугурова, Толеби, Жандосова, Сейфуллина. В южной части города, западнее р. Есентай (Весновка) намечается создание Олимпийской деревни. 
</w:t>
      </w:r>
      <w:r>
        <w:br/>
      </w:r>
      <w:r>
        <w:rPr>
          <w:rFonts w:ascii="Times New Roman"/>
          <w:b w:val="false"/>
          <w:i w:val="false"/>
          <w:color w:val="000000"/>
          <w:sz w:val="28"/>
        </w:rPr>
        <w:t>
      Генпланом предусматривается увеличение удельной площади территорий природного ландшафта - с 35 до 40 кв. метров на одного жителя, в т.ч. озелененных территорий общего пользования - с 9,7 до 16 кв. м на человека. 
</w:t>
      </w:r>
      <w:r>
        <w:br/>
      </w:r>
      <w:r>
        <w:rPr>
          <w:rFonts w:ascii="Times New Roman"/>
          <w:b w:val="false"/>
          <w:i w:val="false"/>
          <w:color w:val="000000"/>
          <w:sz w:val="28"/>
        </w:rPr>
        <w:t>
      С целью оздоровления экологической обстановки и более эффективного использования территорий проектом генерального плана предлагается реорганизация производственных территорий, с уменьшением их общей площади территорий с 2,4 до 1,9 тыс. га. Организация новых промышленных зон не предусматривается, существующие промышленные предприятия будут ориентированы на применение экологически благоприятных технологических процессов.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транспортной инфраструктуры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 источником загрязнения атмосферы города является транспорт (около 80% от всех выбросов вредных веществ). Поэтому, в генеральном плане предлагается совершенствование улично-дорожной сети, ввод метрополитена, увеличение доли электротранспорта, совершенствование подвижного состава, оптимальное развитие сети автозаправочных станций и технического обслуживания. Структурно-планировочное решение организации территории предполагает формирование трех основных транспортных кольца: 
</w:t>
      </w:r>
      <w:r>
        <w:br/>
      </w:r>
      <w:r>
        <w:rPr>
          <w:rFonts w:ascii="Times New Roman"/>
          <w:b w:val="false"/>
          <w:i w:val="false"/>
          <w:color w:val="000000"/>
          <w:sz w:val="28"/>
        </w:rPr>
        <w:t>
      большая Алматинская кольцевая автодорога (БАКАД), протяженностью 103 км; 
</w:t>
      </w:r>
      <w:r>
        <w:br/>
      </w:r>
      <w:r>
        <w:rPr>
          <w:rFonts w:ascii="Times New Roman"/>
          <w:b w:val="false"/>
          <w:i w:val="false"/>
          <w:color w:val="000000"/>
          <w:sz w:val="28"/>
        </w:rPr>
        <w:t>
      среднее транспортное кольцо (от Талгарского тракта, до ул. Майлина, ул. Бекмаханова, Бурундайское шоссе, пробиваемый участок дороги вдоль р. Теренкара, р. Бурундай, пр. Саина, пр. Аль-Фараби, Юго-Восточное полукольцо) - 55 км; 
</w:t>
      </w:r>
      <w:r>
        <w:br/>
      </w:r>
      <w:r>
        <w:rPr>
          <w:rFonts w:ascii="Times New Roman"/>
          <w:b w:val="false"/>
          <w:i w:val="false"/>
          <w:color w:val="000000"/>
          <w:sz w:val="28"/>
        </w:rPr>
        <w:t>
      малое транспортное кольцо (пр. Райымбека, ул. Муканова, ул. Байзакова, новый участок дороги на эстакаде западнее территории КазГНУ, Юго-Восточное полукольцо) - 32 км. 
</w:t>
      </w:r>
      <w:r>
        <w:br/>
      </w:r>
      <w:r>
        <w:rPr>
          <w:rFonts w:ascii="Times New Roman"/>
          <w:b w:val="false"/>
          <w:i w:val="false"/>
          <w:color w:val="000000"/>
          <w:sz w:val="28"/>
        </w:rPr>
        <w:t>
      Намечается увеличение протяженности магистральных и жилых улиц за счет освоения новых территорий в пределах границ города, строительство пересечений городских магистральных улиц и дорог в разных уровнях.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инженерной инфраструктуры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Водоснабжение 
</w:t>
      </w:r>
      <w:r>
        <w:br/>
      </w:r>
      <w:r>
        <w:rPr>
          <w:rFonts w:ascii="Times New Roman"/>
          <w:b w:val="false"/>
          <w:i w:val="false"/>
          <w:color w:val="000000"/>
          <w:sz w:val="28"/>
        </w:rPr>
        <w:t>
      Генеральный план предусматривает следующие направления развития системы водоснабжения города: 
</w:t>
      </w:r>
      <w:r>
        <w:br/>
      </w:r>
      <w:r>
        <w:rPr>
          <w:rFonts w:ascii="Times New Roman"/>
          <w:b w:val="false"/>
          <w:i w:val="false"/>
          <w:color w:val="000000"/>
          <w:sz w:val="28"/>
        </w:rPr>
        <w:t>
      - сохранение и развитие действующей зональной системы хозяйственно-питьевого, производственного и противопожарного водопровода; 
</w:t>
      </w:r>
      <w:r>
        <w:br/>
      </w:r>
      <w:r>
        <w:rPr>
          <w:rFonts w:ascii="Times New Roman"/>
          <w:b w:val="false"/>
          <w:i w:val="false"/>
          <w:color w:val="000000"/>
          <w:sz w:val="28"/>
        </w:rPr>
        <w:t>
      - повышение уровня надежности системы водоснабжения за счет реконструкции и нового строительства водозаборных сооружений, увеличения емкости резервуарного парка города, реконструкция существующих и строительство новых водопроводных сетей; 
</w:t>
      </w:r>
      <w:r>
        <w:br/>
      </w:r>
      <w:r>
        <w:rPr>
          <w:rFonts w:ascii="Times New Roman"/>
          <w:b w:val="false"/>
          <w:i w:val="false"/>
          <w:color w:val="000000"/>
          <w:sz w:val="28"/>
        </w:rPr>
        <w:t>
      - организация стабильного водоснабжения в районах малоэтажной застройки (Шаныраки 1+6, Айгерим, Улжан, Школьник 1,2, Дубок, Таугуль 3, Дархан, Калкаман 2,3, Думан 1,2 и др.), а также поселков, вошедших в черту города (Кирове, Трудовик, Ожет, Акбулак, Дружба, Карасу и др.), районов нового градостроительного освоения (восточное п. Алгабас, западнее п. Первомайка, жилой район Мамыр) путем строительства новых водоводов, магистральных сетей в увязке с существующей системой водоснабжения; 
</w:t>
      </w:r>
      <w:r>
        <w:br/>
      </w:r>
      <w:r>
        <w:rPr>
          <w:rFonts w:ascii="Times New Roman"/>
          <w:b w:val="false"/>
          <w:i w:val="false"/>
          <w:color w:val="000000"/>
          <w:sz w:val="28"/>
        </w:rPr>
        <w:t>
      - сохранение и развитие существующих источников водоснабжения города (поверхностных стоков рек Большой Алматинки и Малой Алматинки, Алматинского и Талгарского месторождения подземных вод), 
</w:t>
      </w:r>
      <w:r>
        <w:br/>
      </w:r>
      <w:r>
        <w:rPr>
          <w:rFonts w:ascii="Times New Roman"/>
          <w:b w:val="false"/>
          <w:i w:val="false"/>
          <w:color w:val="000000"/>
          <w:sz w:val="28"/>
        </w:rPr>
        <w:t>
      - улучшение качества воды как за счет оздоровления окружающей среды и улучшения условий водопользования в зонах поверхностных источников водоснабжения, так и 
</w:t>
      </w:r>
      <w:r>
        <w:br/>
      </w:r>
      <w:r>
        <w:rPr>
          <w:rFonts w:ascii="Times New Roman"/>
          <w:b w:val="false"/>
          <w:i w:val="false"/>
          <w:color w:val="000000"/>
          <w:sz w:val="28"/>
        </w:rPr>
        <w:t>
      - за счет постепенной реконструкции и модернизации всех существующих водопроводных станций с переходом на новую технологию очистки воды.
</w:t>
      </w:r>
    </w:p>
    <w:p>
      <w:pPr>
        <w:spacing w:after="0"/>
        <w:ind w:left="0"/>
        <w:jc w:val="both"/>
      </w:pPr>
      <w:r>
        <w:rPr>
          <w:rFonts w:ascii="Times New Roman"/>
          <w:b w:val="false"/>
          <w:i w:val="false"/>
          <w:color w:val="000000"/>
          <w:sz w:val="28"/>
        </w:rPr>
        <w:t>
</w:t>
      </w:r>
      <w:r>
        <w:rPr>
          <w:rFonts w:ascii="Times New Roman"/>
          <w:b/>
          <w:i w:val="false"/>
          <w:color w:val="000000"/>
          <w:sz w:val="28"/>
        </w:rPr>
        <w:t>
Водоотведение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части развития канализационной системы генеральным планом предусмотрено: 
</w:t>
      </w:r>
      <w:r>
        <w:br/>
      </w:r>
      <w:r>
        <w:rPr>
          <w:rFonts w:ascii="Times New Roman"/>
          <w:b w:val="false"/>
          <w:i w:val="false"/>
          <w:color w:val="000000"/>
          <w:sz w:val="28"/>
        </w:rPr>
        <w:t>
      - повышение надежности функционирования системы канализации с доведением ее общей мощности до 626 тыс.м3/сутки за счет развития существующих сооружений полной биологической очистки и строительства биопрудов, предусматривающих доочистку стоков, строительства аварийного сброса стоков в р. Или и трех ниток загородного коллектора; 
</w:t>
      </w:r>
      <w:r>
        <w:br/>
      </w:r>
      <w:r>
        <w:rPr>
          <w:rFonts w:ascii="Times New Roman"/>
          <w:b w:val="false"/>
          <w:i w:val="false"/>
          <w:color w:val="000000"/>
          <w:sz w:val="28"/>
        </w:rPr>
        <w:t>
      - развитие сети канализации, строительство новых магистральных коллекторов, перекладка "старых" сетей взамен пришедших в негодность, строительство новых насосных станций перекачки (2 ед.), напорных трубопроводов (37 км), строительство дюкера через р. Б.Алматинка (4 км), переход через рыбные пруды (1 км); 
</w:t>
      </w:r>
      <w:r>
        <w:br/>
      </w:r>
      <w:r>
        <w:rPr>
          <w:rFonts w:ascii="Times New Roman"/>
          <w:b w:val="false"/>
          <w:i w:val="false"/>
          <w:color w:val="000000"/>
          <w:sz w:val="28"/>
        </w:rPr>
        <w:t>
      - совершенствование технологии и качества очистки сточных вод за счет совершенствования технологических процессов на предприятиях в целях предотвращения сброса в городскую канализацию недопустимых концентраций вредных веществ, внедрение на станциях аэрации новых технологий биологической очистки.
</w:t>
      </w:r>
    </w:p>
    <w:p>
      <w:pPr>
        <w:spacing w:after="0"/>
        <w:ind w:left="0"/>
        <w:jc w:val="both"/>
      </w:pPr>
      <w:r>
        <w:rPr>
          <w:rFonts w:ascii="Times New Roman"/>
          <w:b w:val="false"/>
          <w:i w:val="false"/>
          <w:color w:val="000000"/>
          <w:sz w:val="28"/>
        </w:rPr>
        <w:t>
</w:t>
      </w:r>
      <w:r>
        <w:rPr>
          <w:rFonts w:ascii="Times New Roman"/>
          <w:b/>
          <w:i w:val="false"/>
          <w:color w:val="000000"/>
          <w:sz w:val="28"/>
        </w:rPr>
        <w:t>
Теплоснабжение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 направлением развития системы теплоснабжения в г. Алматы в генеральном плане явилось: 
</w:t>
      </w:r>
      <w:r>
        <w:br/>
      </w:r>
      <w:r>
        <w:rPr>
          <w:rFonts w:ascii="Times New Roman"/>
          <w:b w:val="false"/>
          <w:i w:val="false"/>
          <w:color w:val="000000"/>
          <w:sz w:val="28"/>
        </w:rPr>
        <w:t>
      - совершенствование, техническое перевооружение и развитие сложившихся систем теплоснабжения на базе современных технологий и оборудования; 
</w:t>
      </w:r>
      <w:r>
        <w:br/>
      </w:r>
      <w:r>
        <w:rPr>
          <w:rFonts w:ascii="Times New Roman"/>
          <w:b w:val="false"/>
          <w:i w:val="false"/>
          <w:color w:val="000000"/>
          <w:sz w:val="28"/>
        </w:rPr>
        <w:t>
      - внедрение в зоне децентрализованного теплоснабжения современных, высококачественных и нетрадиционных источников тепла и электроэнергии для нужд теплоснабжения отдельных потребителей (около 10% от общей тепловой нагрузки в зоне децентрализованного теплоснабжения). 
</w:t>
      </w:r>
      <w:r>
        <w:br/>
      </w:r>
      <w:r>
        <w:rPr>
          <w:rFonts w:ascii="Times New Roman"/>
          <w:b w:val="false"/>
          <w:i w:val="false"/>
          <w:color w:val="000000"/>
          <w:sz w:val="28"/>
        </w:rPr>
        <w:t>
      В системе теплофикации: 
</w:t>
      </w:r>
      <w:r>
        <w:br/>
      </w:r>
      <w:r>
        <w:rPr>
          <w:rFonts w:ascii="Times New Roman"/>
          <w:b w:val="false"/>
          <w:i w:val="false"/>
          <w:color w:val="000000"/>
          <w:sz w:val="28"/>
        </w:rPr>
        <w:t>
      - последовательная замена оборудования АТЭЦ-1 на новые современные, экологически чистые, с мощностью порядка 1300 Гкал/ч, использующими в качестве основного топлива природный газ; 
</w:t>
      </w:r>
      <w:r>
        <w:br/>
      </w:r>
      <w:r>
        <w:rPr>
          <w:rFonts w:ascii="Times New Roman"/>
          <w:b w:val="false"/>
          <w:i w:val="false"/>
          <w:color w:val="000000"/>
          <w:sz w:val="28"/>
        </w:rPr>
        <w:t>
      - расширение АТЭЦ-2 двумя энергетическими котлами и одним турбоагрегатом. В качестве основного топлива на АТЭЦ-2 предлагается использовать уголь улучшенного качества. Природный газ используется в качестве буферного, установленная мощность 1700 Гкал\час; 
</w:t>
      </w:r>
      <w:r>
        <w:br/>
      </w:r>
      <w:r>
        <w:rPr>
          <w:rFonts w:ascii="Times New Roman"/>
          <w:b w:val="false"/>
          <w:i w:val="false"/>
          <w:color w:val="000000"/>
          <w:sz w:val="28"/>
        </w:rPr>
        <w:t>
      - строительство новых тепломагистралей от АТЭЦ-2 в Западный тепловой район общей протяженностью около 30 км, строительство соединительной тепломагистрали АТЭЦ-2 и АТЭЦ-1 протяженностью 13 км с насосно-смесительной станцией, строительство и усиление отдельных участков тепломагистралей в сложившейся зоне теплофикации; 
</w:t>
      </w:r>
      <w:r>
        <w:br/>
      </w:r>
      <w:r>
        <w:rPr>
          <w:rFonts w:ascii="Times New Roman"/>
          <w:b w:val="false"/>
          <w:i w:val="false"/>
          <w:color w:val="000000"/>
          <w:sz w:val="28"/>
        </w:rPr>
        <w:t>
      - обеспечение тепловой нагрузкой новой многоэтажной застройки Западного района за счет строительства новой пиковой котельной на газе или за счет использования электроэнергии; 
</w:t>
      </w:r>
      <w:r>
        <w:br/>
      </w:r>
      <w:r>
        <w:rPr>
          <w:rFonts w:ascii="Times New Roman"/>
          <w:b w:val="false"/>
          <w:i w:val="false"/>
          <w:color w:val="000000"/>
          <w:sz w:val="28"/>
        </w:rPr>
        <w:t>
      - строительство новой северной котельной (ИСК) на газе в Северной тепловой зоне (западнее пос. Первомайка); 
</w:t>
      </w:r>
      <w:r>
        <w:br/>
      </w:r>
      <w:r>
        <w:rPr>
          <w:rFonts w:ascii="Times New Roman"/>
          <w:b w:val="false"/>
          <w:i w:val="false"/>
          <w:color w:val="000000"/>
          <w:sz w:val="28"/>
        </w:rPr>
        <w:t>
      - реконструкция, модернизация и развитие с использованием современного оборудования южных районных котельных; 
</w:t>
      </w:r>
      <w:r>
        <w:br/>
      </w:r>
      <w:r>
        <w:rPr>
          <w:rFonts w:ascii="Times New Roman"/>
          <w:b w:val="false"/>
          <w:i w:val="false"/>
          <w:color w:val="000000"/>
          <w:sz w:val="28"/>
        </w:rPr>
        <w:t>
      - строительство новых тепловых сетей и реконструкция существующих с использованием современных технологий, с применением бесканальной прокладки.
</w:t>
      </w:r>
    </w:p>
    <w:p>
      <w:pPr>
        <w:spacing w:after="0"/>
        <w:ind w:left="0"/>
        <w:jc w:val="both"/>
      </w:pPr>
      <w:r>
        <w:rPr>
          <w:rFonts w:ascii="Times New Roman"/>
          <w:b w:val="false"/>
          <w:i w:val="false"/>
          <w:color w:val="000000"/>
          <w:sz w:val="28"/>
        </w:rPr>
        <w:t>
</w:t>
      </w:r>
      <w:r>
        <w:rPr>
          <w:rFonts w:ascii="Times New Roman"/>
          <w:b/>
          <w:i w:val="false"/>
          <w:color w:val="000000"/>
          <w:sz w:val="28"/>
        </w:rPr>
        <w:t>
Электроснабжение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В генеральном плане рассмотрены два варианта развития электроснабжения. 
</w:t>
      </w:r>
      <w:r>
        <w:br/>
      </w:r>
      <w:r>
        <w:rPr>
          <w:rFonts w:ascii="Times New Roman"/>
          <w:b w:val="false"/>
          <w:i w:val="false"/>
          <w:color w:val="000000"/>
          <w:sz w:val="28"/>
        </w:rPr>
        <w:t>
      Вариант минимальный с выбытием генерирующей мощности городских электростанций с учетом наработки существующего основного оборудования АТЭЦ-1,2,3. 
</w:t>
      </w:r>
      <w:r>
        <w:br/>
      </w:r>
      <w:r>
        <w:rPr>
          <w:rFonts w:ascii="Times New Roman"/>
          <w:b w:val="false"/>
          <w:i w:val="false"/>
          <w:color w:val="000000"/>
          <w:sz w:val="28"/>
        </w:rPr>
        <w:t>
      Вариант максимальный в соответствии с утвержденной Правительством Республики Казахстан "Программой развития электроэнергетики до 2030" и Планом мероприятий до 2005г. по обеспечению энергетической независимости Республики Казахстан. 
</w:t>
      </w:r>
      <w:r>
        <w:br/>
      </w:r>
      <w:r>
        <w:rPr>
          <w:rFonts w:ascii="Times New Roman"/>
          <w:b w:val="false"/>
          <w:i w:val="false"/>
          <w:color w:val="000000"/>
          <w:sz w:val="28"/>
        </w:rPr>
        <w:t>
      Покрытие определившего дефицита мощности предлагается осуществить поэтапно от следующих источников: на ближайшую перспективу 10-15 лет от Экибастузской ГРЭС, которую можно получить по существующим сетям до 500 МВт, а в дальнейшем с развитием сетей напряжением 500 кВ - 800 МВт. 
</w:t>
      </w:r>
      <w:r>
        <w:br/>
      </w:r>
      <w:r>
        <w:rPr>
          <w:rFonts w:ascii="Times New Roman"/>
          <w:b w:val="false"/>
          <w:i w:val="false"/>
          <w:color w:val="000000"/>
          <w:sz w:val="28"/>
        </w:rPr>
        <w:t>
      На более отдаленную перспективу для покрытия дефицита мощности трех южных областей Казахстана, предлагается вариант строительства базовой электростанции на площадке Чиганак. 
</w:t>
      </w:r>
      <w:r>
        <w:br/>
      </w:r>
      <w:r>
        <w:rPr>
          <w:rFonts w:ascii="Times New Roman"/>
          <w:b w:val="false"/>
          <w:i w:val="false"/>
          <w:color w:val="000000"/>
          <w:sz w:val="28"/>
        </w:rPr>
        <w:t>
      Основными направлениями в развитии системы электроснабжения города являются: 
</w:t>
      </w:r>
      <w:r>
        <w:br/>
      </w:r>
      <w:r>
        <w:rPr>
          <w:rFonts w:ascii="Times New Roman"/>
          <w:b w:val="false"/>
          <w:i w:val="false"/>
          <w:color w:val="000000"/>
          <w:sz w:val="28"/>
        </w:rPr>
        <w:t>
      - реконструкция и техническое перевооружение электрических сетей и сооружений в зоне существующей застройки с учетом перспективы; поэтапный перевод воздушных ЛЭП в кабельные; 
</w:t>
      </w:r>
      <w:r>
        <w:br/>
      </w:r>
      <w:r>
        <w:rPr>
          <w:rFonts w:ascii="Times New Roman"/>
          <w:b w:val="false"/>
          <w:i w:val="false"/>
          <w:color w:val="000000"/>
          <w:sz w:val="28"/>
        </w:rPr>
        <w:t>
      - снижение потерь в сетях за счет уменьшения транзитных перетоков мощности через городские сети 35-110ке; 
</w:t>
      </w:r>
      <w:r>
        <w:br/>
      </w:r>
      <w:r>
        <w:rPr>
          <w:rFonts w:ascii="Times New Roman"/>
          <w:b w:val="false"/>
          <w:i w:val="false"/>
          <w:color w:val="000000"/>
          <w:sz w:val="28"/>
        </w:rPr>
        <w:t>
      - сооружение новых ПС 110/10кв закрытого типа для электроснабжения новой застройки; 
</w:t>
      </w:r>
      <w:r>
        <w:br/>
      </w:r>
      <w:r>
        <w:rPr>
          <w:rFonts w:ascii="Times New Roman"/>
          <w:b w:val="false"/>
          <w:i w:val="false"/>
          <w:color w:val="000000"/>
          <w:sz w:val="28"/>
        </w:rPr>
        <w:t>
      - развитие внешних системообразующих сетей напряжением 220 кВ и выше, сооружение двух ПС 220/110кв и завершение формирования кольца высоковольтных линий электропередачи 220 кВ вокруг города; 
</w:t>
      </w:r>
      <w:r>
        <w:br/>
      </w:r>
      <w:r>
        <w:rPr>
          <w:rFonts w:ascii="Times New Roman"/>
          <w:b w:val="false"/>
          <w:i w:val="false"/>
          <w:color w:val="000000"/>
          <w:sz w:val="28"/>
        </w:rPr>
        <w:t>
      - внедрение электросберегающих мероприятий во все сферы потребления с введением дифференцированных тарифов за пользование электроэнергией.
</w:t>
      </w:r>
    </w:p>
    <w:p>
      <w:pPr>
        <w:spacing w:after="0"/>
        <w:ind w:left="0"/>
        <w:jc w:val="both"/>
      </w:pPr>
      <w:r>
        <w:rPr>
          <w:rFonts w:ascii="Times New Roman"/>
          <w:b w:val="false"/>
          <w:i w:val="false"/>
          <w:color w:val="000000"/>
          <w:sz w:val="28"/>
        </w:rPr>
        <w:t>
</w:t>
      </w:r>
      <w:r>
        <w:rPr>
          <w:rFonts w:ascii="Times New Roman"/>
          <w:b/>
          <w:i w:val="false"/>
          <w:color w:val="000000"/>
          <w:sz w:val="28"/>
        </w:rPr>
        <w:t>
Газоснабжение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Генеральным планом решаются вопросы обеспечения природным газом потребителей всех категорий в полном объеме, определенном на расчетный срок. Для обеспечения прогнозируемого потребления газа с соблюдением требований нормативных документов по размещению объектов и сооружений системы газоснабжения проектом предусматривается: 
</w:t>
      </w:r>
      <w:r>
        <w:br/>
      </w:r>
      <w:r>
        <w:rPr>
          <w:rFonts w:ascii="Times New Roman"/>
          <w:b w:val="false"/>
          <w:i w:val="false"/>
          <w:color w:val="000000"/>
          <w:sz w:val="28"/>
        </w:rPr>
        <w:t>
      - строительство двух газораспределительных станций "ГРС-3" и "ГРС-2А", пропускной способностью 690 тыс.м3/час. и 550 тыс.м3/час.; 
</w:t>
      </w:r>
      <w:r>
        <w:br/>
      </w:r>
      <w:r>
        <w:rPr>
          <w:rFonts w:ascii="Times New Roman"/>
          <w:b w:val="false"/>
          <w:i w:val="false"/>
          <w:color w:val="000000"/>
          <w:sz w:val="28"/>
        </w:rPr>
        <w:t>
      - реконструкция ГРС-1 и ГРС-2 для перевода их в режим работы газорегуляторных пунктов высокого давления; 
</w:t>
      </w:r>
      <w:r>
        <w:br/>
      </w:r>
      <w:r>
        <w:rPr>
          <w:rFonts w:ascii="Times New Roman"/>
          <w:b w:val="false"/>
          <w:i w:val="false"/>
          <w:color w:val="000000"/>
          <w:sz w:val="28"/>
        </w:rPr>
        <w:t>
      - строительство двух головных газорегуляторных пунктов "ГРП котельных ЗТК" и "ГРП котельной Орбита"; 
</w:t>
      </w:r>
      <w:r>
        <w:br/>
      </w:r>
      <w:r>
        <w:rPr>
          <w:rFonts w:ascii="Times New Roman"/>
          <w:b w:val="false"/>
          <w:i w:val="false"/>
          <w:color w:val="000000"/>
          <w:sz w:val="28"/>
        </w:rPr>
        <w:t>
      - строительство и монтаж ГРП и ШРП в районах новой застройки; 
</w:t>
      </w:r>
      <w:r>
        <w:br/>
      </w:r>
      <w:r>
        <w:rPr>
          <w:rFonts w:ascii="Times New Roman"/>
          <w:b w:val="false"/>
          <w:i w:val="false"/>
          <w:color w:val="000000"/>
          <w:sz w:val="28"/>
        </w:rPr>
        <w:t>
      - прокладка газопроводов высокого, среднего и низкого давления к проектируемым и реконструируемым районам. 
</w:t>
      </w:r>
      <w:r>
        <w:br/>
      </w:r>
      <w:r>
        <w:rPr>
          <w:rFonts w:ascii="Times New Roman"/>
          <w:b w:val="false"/>
          <w:i w:val="false"/>
          <w:color w:val="000000"/>
          <w:sz w:val="28"/>
        </w:rPr>
        <w:t>
      Расчеты расходов газа в генеральном плане выполнены в 2-х вариантах: максимальный расход газа с учетом потребления в полном объеме энергоисточников (вариант 1) составляет 1085,0 тыс.куб.м/час, без учета потребления АТЭЦ-2 и северной котельной (вариант-2) расчетный расход составляет 785,8 тыс.куб.м/час.
</w:t>
      </w:r>
    </w:p>
    <w:p>
      <w:pPr>
        <w:spacing w:after="0"/>
        <w:ind w:left="0"/>
        <w:jc w:val="both"/>
      </w:pPr>
      <w:r>
        <w:rPr>
          <w:rFonts w:ascii="Times New Roman"/>
          <w:b w:val="false"/>
          <w:i w:val="false"/>
          <w:color w:val="000000"/>
          <w:sz w:val="28"/>
        </w:rPr>
        <w:t>
</w:t>
      </w:r>
      <w:r>
        <w:rPr>
          <w:rFonts w:ascii="Times New Roman"/>
          <w:b/>
          <w:i w:val="false"/>
          <w:color w:val="000000"/>
          <w:sz w:val="28"/>
        </w:rPr>
        <w:t>
Охрана окружающей среды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Генеральным планом предлагается комплекс градостроительных мероприятий по улучшению экологической обстановки Алматы, ориентированного на устойчивое развитие города и пригородной зоны за счет сбалансированности экологических и социально-экономических потребностей. Для оздоровления воздушного бассейна города необходимо проведение комплекса мер по ограничению выбросов автомобильного транспорта, подавления неорганизованных и сверхнормативных выбросов, пространственной организации территории для оптимизации аэрационного режима. В комплекс градостроительных мероприятий по охране окружающей среды включены: защита от шума, охрана подземных и поверхностных вод, противооползневые и противосуффозионные мероприятия, защита от подтопления, противоселевые мероприятия, очистка территории города от промышленных и бытовых отходов, охрана растительности.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ХIII-й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К.Абдрахманов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Ж.Турегельдинов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3
</w:t>
      </w:r>
      <w:r>
        <w:br/>
      </w:r>
      <w:r>
        <w:rPr>
          <w:rFonts w:ascii="Times New Roman"/>
          <w:b w:val="false"/>
          <w:i w:val="false"/>
          <w:color w:val="000000"/>
          <w:sz w:val="28"/>
        </w:rPr>
        <w:t>
к Решению ХIII-й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от 31 октября 2001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технико-экономические показатели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генерального плана развития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407"/>
        <w:gridCol w:w="2049"/>
        <w:gridCol w:w="1622"/>
        <w:gridCol w:w="1255"/>
        <w:gridCol w:w="1318"/>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п/п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Показатели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Единица
</w:t>
            </w:r>
            <w:r>
              <w:br/>
            </w:r>
            <w:r>
              <w:rPr>
                <w:rFonts w:ascii="Times New Roman"/>
                <w:b w:val="false"/>
                <w:i w:val="false"/>
                <w:color w:val="000000"/>
                <w:sz w:val="20"/>
              </w:rPr>
              <w:t>
измерения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Исход-
</w:t>
            </w:r>
            <w:r>
              <w:br/>
            </w:r>
            <w:r>
              <w:rPr>
                <w:rFonts w:ascii="Times New Roman"/>
                <w:b w:val="false"/>
                <w:i w:val="false"/>
                <w:color w:val="000000"/>
                <w:sz w:val="20"/>
              </w:rPr>
              <w:t>
ный год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2005г.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2020г.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Территория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Городские земли в пределах городской черты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из них функциональные зоны: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Жилая зона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11,9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14,1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Общественно-деловая зона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Производственная зона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1.1.4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Зона спецназначения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1.1.5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Ландшафтно-рекреационная зона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1.1.6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Зона сельскохозяйственного использования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0,8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1.1.7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Зона режимных объектов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1.1.8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Прочие земли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расчете на 1 человека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Население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населения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тыс.чел.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1 129,3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1 180,0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1300,0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Возрастная структура населения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0-15 лет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трудоспособный возраст (женщины 16-57 лет, мужчины 16-62 года)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66,7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нетрудоспособный возраст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Трудовые ресурсы,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тыс.чел.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773,6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857,9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945,1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Экономически активное население,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631,8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698,5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756,6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Занято в отраслях экономики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543,6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615,9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717,6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в градообразующей группе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189,5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234,8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327,6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в обслуживающей группе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354,1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из них
</w:t>
            </w:r>
            <w:r>
              <w:rPr>
                <w:rFonts w:ascii="Times New Roman"/>
                <w:b w:val="false"/>
                <w:i w:val="false"/>
                <w:color w:val="000000"/>
                <w:sz w:val="20"/>
              </w:rPr>
              <w:t>
: самостоятельно занятое население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191,1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199,4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130,0
</w:t>
            </w:r>
          </w:p>
        </w:tc>
      </w:tr>
      <w:tr>
        <w:trPr>
          <w:trHeight w:val="525"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Безработные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Экономически неактивное население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141,8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188,5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106,2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Жилищный фонд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Жилищный фонд, всего общей площади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млн.кв.м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21,12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22,71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27,46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*многоэтажный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14,73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15,19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из них
</w:t>
            </w:r>
            <w:r>
              <w:rPr>
                <w:rFonts w:ascii="Times New Roman"/>
                <w:b w:val="false"/>
                <w:i w:val="false"/>
                <w:color w:val="000000"/>
                <w:sz w:val="20"/>
              </w:rPr>
              <w:t>
 высотный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*малоэтажный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из них высокоплотный блокированный с участком при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*усадебный (коттеджного типа) с участком при доме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Средняя обеспеченность населения общей площадью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Убыль жилищного фонда, всего общей площади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млн.кв.м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*ветхий, аварийный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*снос в связи с реконструкцией застройки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Убыль жилищного фонда по отношению: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 существующему жилищному фонду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 новому строительству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17,6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w:t>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Новое жилищное строительство, всего общей площади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млн.кв.м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7,69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100,0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по этажности застройки: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многоэтажное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0,47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в свыше 5 этажей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*малоэтажное высокоплотное блокированное с участком при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*усадебное (коттеджного типа) с участком при доме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30,5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 общего объема нового жилищного строительства размещается: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 свободной территории (в пределах городской черты),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млн.кв.м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2,42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многоэтажное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свыше 5 этажей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0,51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малоэтажное высокоплотное блокированное с участком при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усадебное (коттеджного типа) с участком при доме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0,92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 реконструируемой территории,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млн.кв.м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5,27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многоэтажное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0,47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3,84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свыше 5 этажей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усадебное (коттеджного типа) с участком при доме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1,42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Ввод общей площади нового жилищного фонда в среднем за год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229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Расселяется население в новом жилищном фонде,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тыс.чел.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56,2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325,0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в застройке: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многоэтажной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243,2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свыше 5 этажей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156,8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малоэтажной высокоплотной блокированной с участком при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усадебной (коттеджного типа) с участком при доме (квартире)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тыс.чел.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из них: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Средняя обеспеченность населения общей площадью в новом жилищном фонде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кв.м/чел.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Количество домов усадебного типа в новом жилищном фонде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тыс.домов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Средний размер дома в новой жилой застройке усадебного типа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w:t>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Средняя плотность жилищного фонда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1808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1748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1951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чел/га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3.12
</w:t>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Средняя плотность жилищного фонда во вновь застраиваемых районах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2241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чел/га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3.13
</w:t>
            </w:r>
            <w:r>
              <w:rPr>
                <w:rFonts w:ascii="Times New Roman"/>
                <w:b w:val="false"/>
                <w:i w:val="false"/>
                <w:color w:val="000000"/>
                <w:sz w:val="20"/>
              </w:rPr>
              <w:t>
</w:t>
            </w:r>
          </w:p>
        </w:tc>
        <w:tc>
          <w:tcPr>
            <w:tcW w:w="6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Средняя плотность жилищного фонда в районах реконструкции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кв.м./га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1404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2864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чел/га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Социально значимые учреждения и предприятия обслуживания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Учреждения образования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Детские дошкольные учреждения,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34,1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Школы общеобразовательные,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121,7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185,1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107,8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116,6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142,4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63,4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Учреждения здравоохранения и социального обеспечения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0,17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Поликлиники,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 посе-
</w:t>
            </w:r>
            <w:r>
              <w:br/>
            </w:r>
            <w:r>
              <w:rPr>
                <w:rFonts w:ascii="Times New Roman"/>
                <w:b w:val="false"/>
                <w:i w:val="false"/>
                <w:color w:val="000000"/>
                <w:sz w:val="20"/>
              </w:rPr>
              <w:t>
щений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посещений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тыс.посе-
</w:t>
            </w:r>
            <w:r>
              <w:br/>
            </w:r>
            <w:r>
              <w:rPr>
                <w:rFonts w:ascii="Times New Roman"/>
                <w:b w:val="false"/>
                <w:i w:val="false"/>
                <w:color w:val="000000"/>
                <w:sz w:val="20"/>
              </w:rPr>
              <w:t>
щений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Территориальные комплексные центры социального обслуживания,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тыс.м2 общей площади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общей площади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тыс.м2 общей площади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Учреждения культуры и искусства, досуга и развлечений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0,18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Культурно-зрелищные учреждения,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тыс.мест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21,4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23,5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Библиотеки,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тыс.томов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914,3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1 498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3 250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тыс.томов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тыс.томов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2 336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Спортивные сооружения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Предприятия торговли, общественного питания и бытового обслуживания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0,23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Предприятия торговли,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тыс.м2  торг. площади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торг.площ.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тыс.м2 торг. площади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70,3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Рыночные комплексы,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тыс.м2 торг. площади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торг. площ.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тыс.м2 торг. площади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4.5.3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Предприятия общественного питания,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посадочных мест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посадочных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 посадочных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4.5.4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Предприятия бытового обслуживания,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 раб.мест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4.6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Предприятия коммунального обслуживания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w:t>
            </w:r>
            <w:r>
              <w:rPr>
                <w:rFonts w:ascii="Times New Roman"/>
                <w:b w:val="false"/>
                <w:i/>
                <w:color w:val="000000"/>
                <w:sz w:val="20"/>
              </w:rPr>
              <w:t>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0,08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Банно-оздоровительные комплексы,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тыс.мест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0,3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0,9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тыс.мест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Прачечные,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тыс.кг. белья в смену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кг.белья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тыс.кг. белья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24,5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4.6.3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Химчистки,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тыс.кг. вещей в смену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5,2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вещей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тыс.кг. вещей в смену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Прочие учреждения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Общая площадь на 1 жителя,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4.7.1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Отделения связи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Учреждения банка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уровень обеспеченности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1000 жителей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новое строительство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объект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Транспортное обеспечение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Протяженность линий пассажирского общественного транспорта,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км. двойного пути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404,18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494,45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638,09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электрифицированная железная дорога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км. двойного пути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12,0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21,6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21,6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метрополитен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км. двойного пути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5.1.3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трамвай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км. двойного пути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32,93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32,93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44,72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5.1.4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троллейбус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км. двойного пути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94,25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121,42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140,77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5.1.5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автобус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км. двойного пути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265,0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305,0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395,0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Протяженность магистральных улиц и дорог,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416,58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494,82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дорог скоростного движения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86,37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магистралей общегородского значения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213,11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213,11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5.2.3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магистралей районного значения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км.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170,6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195,34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195,34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Плотность улично-дорожной сети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магистралей общегородского значения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км/км2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магистралей районного значения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км/км2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0,66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Инженерное оборудование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Водоснабжение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Суммарное потребление,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тыс.м3/ сутки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778,6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977,6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1081,0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население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301,6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302,6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промышленность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352,6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388,2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Мощность головных сооружений водопровода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тыс.м3/ сутки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1219,3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1219,3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1219,3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используемые источники водоснабжения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*подземные водозаборы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529,7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728,8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832,2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*водозабор из поверхностных источников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248,8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248,8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248,8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6.1.3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Утвержденные запасы подземных вод ГКЗ (дата утверждения, расчетный срок)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тыс.м3/ сутки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23,1
</w:t>
            </w:r>
            <w:r>
              <w:rPr>
                <w:rFonts w:ascii="Times New Roman"/>
                <w:b w:val="false"/>
                <w:i w:val="false"/>
                <w:color w:val="000000"/>
                <w:sz w:val="20"/>
              </w:rPr>
              <w:t>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6.1.4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Водопотребление в среднем на 1 человека в сутки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л/сут.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689,4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818,5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822,0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на хозяйственно- питьевые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л/сут.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267,1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256,5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261,7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Канализация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Общее поступление сточных вод,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468,4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572,5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625,2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население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407,3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454,5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промышленность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тыс.м3/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64,8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6.2.2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Производительность канализационных очистных сооружений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тыс.м3/ 
</w:t>
            </w:r>
            <w:r>
              <w:rPr>
                <w:rFonts w:ascii="Times New Roman"/>
                <w:b w:val="false"/>
                <w:i w:val="false"/>
                <w:color w:val="000000"/>
                <w:sz w:val="20"/>
              </w:rPr>
              <w:t>
сутки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640,0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640,0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640,0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6.3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Электроснабжение
</w:t>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Суммарное потребление электроэнергии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млн.кВт. час/год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3 290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3 640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4 560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коммунально-бытовые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 кВт. час/год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1 234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1 460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2 180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производственные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 кВт. час/год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2 056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2 180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2 380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6.3.2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Электропотребление в среднем на 1 человека в год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кВт.час/ год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3 060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3 090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3 500
</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на коммунально-бытовые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кВт.час/ 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1 150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1 240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1 670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6.3.3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Источники покрытия нагрузок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млн.кВт. 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3 049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3 102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1 590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ТЭЦ, ГРЭС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млн.кВт. 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2862,0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2922,0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гидроэлектростанция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млн.кВт. 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187,4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объединенная энергосеть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млн.кВт. 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Теплоснабжение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6.4.1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Установленная тепловая мощность источников тепла,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Гкал/час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5 868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6 238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7 650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ТЭЦ-1 и ТЭЦ-2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2 379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2 379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3 000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районные котельные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1 789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1 889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2 150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квартальные котельные и индивидуальные источники тепла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1 600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суммарная мощность локальных источников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1 000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Суммарное теплопотребление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4 094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4 542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отопление и вентиляцию,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3 620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4 029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5 308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коммунально-бытовых потребителей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3 197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3 480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4 443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промышленных потребителей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865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горячее водоснабжение,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коммунально-бытовых потребителей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промышленных потребителей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6.4.3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Теплопотребление в паре на технологические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Гкал/час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Газоснабжение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Потребление газа,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млн.м3/год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679,9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2605,7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коммунально-бытовое потребление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млн.м3/год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193,1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отопление жилых домов усадебной застройки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млн.м3/год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262,8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384,2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производственные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млн.м3/год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324,4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котельные АО ТКЭ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123,6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232,6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предприятия АПК и СВРК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1471,4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6.5.2
</w:t>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Потребление природного газа, всего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млн.м3/год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551,9
</w:t>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коммунально-бытовые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млн.м3/год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292,1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производственные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млн.м3/год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259,8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6.5.3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Потребление сжиженного газа,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тонн/год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10821,9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коммунально-бытовые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тонн/год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9 828,0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производственные нужды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тонн/год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993,9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Стоимость жилищно-гражданского строительства, всего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2064,25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9553,0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том числе: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Жилые дома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3845,3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Учреждения и предприятия культурно-бытового обслуживания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407,6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2139,0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Транспорт и улично-дорожная сеть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37,45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117,7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Инженерное оборудование и благоустройство территории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204,6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1151,0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освоение и инженерная подготовка территории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186,3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инженерные сети и оборудование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128,2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915,9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водоснабжение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водоотведение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163,4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137,3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электроснабжение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теплоснабжение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17,0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700,0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газоснабжение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благоустройство и озеленение территории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млн.у.е.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17,1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48,8
</w:t>
            </w:r>
          </w:p>
        </w:tc>
      </w:tr>
      <w:tr>
        <w:trPr>
          <w:trHeight w:val="30" w:hRule="atLeast"/>
        </w:trPr>
        <w:tc>
          <w:tcPr>
            <w:tcW w:w="0" w:type="auto"/>
            <w:vMerge/>
            <w:tcBorders>
              <w:top w:val="nil"/>
              <w:left w:val="single" w:color="cfcfcf" w:sz="5"/>
              <w:bottom w:val="single" w:color="cfcfcf" w:sz="5"/>
              <w:right w:val="single" w:color="cfcfcf" w:sz="5"/>
            </w:tcBorders>
          </w:tcP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В среднем за год
</w:t>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млн.у.е.
</w:t>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207,1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329,7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ХIII-й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К.Абдрахманов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Ж.Турегельдинов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