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1f1b" w14:textId="6281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29 июня 2024 года № 590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к формированию политики управления государственными финансами":</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Политика формирования и использования средств НФРК":</w:t>
      </w:r>
    </w:p>
    <w:bookmarkEnd w:id="4"/>
    <w:bookmarkStart w:name="z9" w:id="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
    <w:bookmarkStart w:name="z10" w:id="6"/>
    <w:p>
      <w:pPr>
        <w:spacing w:after="0"/>
        <w:ind w:left="0"/>
        <w:jc w:val="both"/>
      </w:pPr>
      <w:r>
        <w:rPr>
          <w:rFonts w:ascii="Times New Roman"/>
          <w:b w:val="false"/>
          <w:i w:val="false"/>
          <w:color w:val="000000"/>
          <w:sz w:val="28"/>
        </w:rPr>
        <w:t xml:space="preserve">
      "транспарентность - направление средств НФРК в экономику страны только через республиканский бюджет, а также выделение средств из НФРК на цели, предусмотренные настоящей Концепцией, с информированием Парламента в составе отчета Правительства об исполнении республиканского бюджета;";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w:t>
      </w:r>
      <w:r>
        <w:rPr>
          <w:rFonts w:ascii="Times New Roman"/>
          <w:b w:val="false"/>
          <w:i w:val="false"/>
          <w:color w:val="000000"/>
          <w:sz w:val="28"/>
        </w:rPr>
        <w:t xml:space="preserve"> "Использование средств НФРК" изложить в следующей редакции:</w:t>
      </w:r>
    </w:p>
    <w:bookmarkStart w:name="z12" w:id="7"/>
    <w:p>
      <w:pPr>
        <w:spacing w:after="0"/>
        <w:ind w:left="0"/>
        <w:jc w:val="both"/>
      </w:pPr>
      <w:r>
        <w:rPr>
          <w:rFonts w:ascii="Times New Roman"/>
          <w:b w:val="false"/>
          <w:i w:val="false"/>
          <w:color w:val="000000"/>
          <w:sz w:val="28"/>
        </w:rPr>
        <w:t xml:space="preserve">
      "Политика и объем использования НФРК в средне - и долгосрочной перспективе будут исходить из необходимости недопущения сокращения валютных активов НФРК и их накопления для будущих поколений. </w:t>
      </w:r>
    </w:p>
    <w:bookmarkEnd w:id="7"/>
    <w:bookmarkStart w:name="z13" w:id="8"/>
    <w:p>
      <w:pPr>
        <w:spacing w:after="0"/>
        <w:ind w:left="0"/>
        <w:jc w:val="both"/>
      </w:pPr>
      <w:r>
        <w:rPr>
          <w:rFonts w:ascii="Times New Roman"/>
          <w:b w:val="false"/>
          <w:i w:val="false"/>
          <w:color w:val="000000"/>
          <w:sz w:val="28"/>
        </w:rPr>
        <w:t xml:space="preserve">
      НФРК используется: </w:t>
      </w:r>
    </w:p>
    <w:bookmarkEnd w:id="8"/>
    <w:bookmarkStart w:name="z14" w:id="9"/>
    <w:p>
      <w:pPr>
        <w:spacing w:after="0"/>
        <w:ind w:left="0"/>
        <w:jc w:val="both"/>
      </w:pPr>
      <w:r>
        <w:rPr>
          <w:rFonts w:ascii="Times New Roman"/>
          <w:b w:val="false"/>
          <w:i w:val="false"/>
          <w:color w:val="000000"/>
          <w:sz w:val="28"/>
        </w:rPr>
        <w:t>
      1) в виде ежегодного гарантированного трансферта из НФРК в республиканский бюджет;</w:t>
      </w:r>
    </w:p>
    <w:bookmarkEnd w:id="9"/>
    <w:bookmarkStart w:name="z15" w:id="10"/>
    <w:p>
      <w:pPr>
        <w:spacing w:after="0"/>
        <w:ind w:left="0"/>
        <w:jc w:val="both"/>
      </w:pPr>
      <w:r>
        <w:rPr>
          <w:rFonts w:ascii="Times New Roman"/>
          <w:b w:val="false"/>
          <w:i w:val="false"/>
          <w:color w:val="000000"/>
          <w:sz w:val="28"/>
        </w:rPr>
        <w:t>
      2) в виде целевого трансферта из НФРК в республиканский бюджет;</w:t>
      </w:r>
    </w:p>
    <w:bookmarkEnd w:id="10"/>
    <w:bookmarkStart w:name="z16" w:id="11"/>
    <w:p>
      <w:pPr>
        <w:spacing w:after="0"/>
        <w:ind w:left="0"/>
        <w:jc w:val="both"/>
      </w:pPr>
      <w:r>
        <w:rPr>
          <w:rFonts w:ascii="Times New Roman"/>
          <w:b w:val="false"/>
          <w:i w:val="false"/>
          <w:color w:val="000000"/>
          <w:sz w:val="28"/>
        </w:rPr>
        <w:t>
      3) на покрытие расходов, связанных с управлением НФРК и проведением ежегодного аудита;</w:t>
      </w:r>
    </w:p>
    <w:bookmarkEnd w:id="11"/>
    <w:bookmarkStart w:name="z17" w:id="12"/>
    <w:p>
      <w:pPr>
        <w:spacing w:after="0"/>
        <w:ind w:left="0"/>
        <w:jc w:val="both"/>
      </w:pPr>
      <w:r>
        <w:rPr>
          <w:rFonts w:ascii="Times New Roman"/>
          <w:b w:val="false"/>
          <w:i w:val="false"/>
          <w:color w:val="000000"/>
          <w:sz w:val="28"/>
        </w:rPr>
        <w:t>
      4) в виде выплат целевых требований и на покрытие расходов по оплате банковских услуг, связанных с переводами и выплатами целевых накоплений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xml:space="preserve">
      Под целевыми требованиями понимаются обязательства Правительства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НФРК и усредненного за восемнадцать лет, предшествующих отчетному году, инвестиционного дохода, ежегодно начисляемого на данную сумму. </w:t>
      </w:r>
    </w:p>
    <w:bookmarkEnd w:id="13"/>
    <w:bookmarkStart w:name="z19" w:id="14"/>
    <w:p>
      <w:pPr>
        <w:spacing w:after="0"/>
        <w:ind w:left="0"/>
        <w:jc w:val="both"/>
      </w:pPr>
      <w:r>
        <w:rPr>
          <w:rFonts w:ascii="Times New Roman"/>
          <w:b w:val="false"/>
          <w:i w:val="false"/>
          <w:color w:val="000000"/>
          <w:sz w:val="28"/>
        </w:rPr>
        <w:t>
      В целях реализации стабилизационной функции НБ в зависимости от сложившейся ситуации на финансовом рынке производит конвертацию и реконвертацию активов НФРК в порядке, установленном Правлением НБ. Данные операции проводятся для выделения гарантированного и целевого трансфертов и не относятся к интервенциям НБ. Гарантированный и целевой трансферты из НФРК должны проходить через республиканский бюджет в соответствии с бюджетными процедурами.</w:t>
      </w:r>
    </w:p>
    <w:bookmarkEnd w:id="14"/>
    <w:bookmarkStart w:name="z20" w:id="15"/>
    <w:p>
      <w:pPr>
        <w:spacing w:after="0"/>
        <w:ind w:left="0"/>
        <w:jc w:val="both"/>
      </w:pPr>
      <w:r>
        <w:rPr>
          <w:rFonts w:ascii="Times New Roman"/>
          <w:b w:val="false"/>
          <w:i w:val="false"/>
          <w:color w:val="000000"/>
          <w:sz w:val="28"/>
        </w:rPr>
        <w:t xml:space="preserve">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прямое кредитование юридических и физических лиц из НФРК, использование активов в качестве обеспечения исполнения обязательств, а также привлечение государственного финансирования из НФРК на нерыночных (льготных) условиях для субъектов квазигосударственного сектора запрещены, за исключением: </w:t>
      </w:r>
    </w:p>
    <w:bookmarkEnd w:id="15"/>
    <w:bookmarkStart w:name="z21" w:id="16"/>
    <w:p>
      <w:pPr>
        <w:spacing w:after="0"/>
        <w:ind w:left="0"/>
        <w:jc w:val="both"/>
      </w:pPr>
      <w:r>
        <w:rPr>
          <w:rFonts w:ascii="Times New Roman"/>
          <w:b w:val="false"/>
          <w:i w:val="false"/>
          <w:color w:val="000000"/>
          <w:sz w:val="28"/>
        </w:rPr>
        <w:t>
      реализации проектов общестранового значения с получением в каждом случае прямого согласия Главы государства после прохождения соответствующей экспертизы (включая оценку проекта) и при отсутствии альтернативных источников финансирования путем приобретения долговых ценных бумаг Фонда, эмитируемых для указанных проектов;</w:t>
      </w:r>
    </w:p>
    <w:bookmarkEnd w:id="16"/>
    <w:bookmarkStart w:name="z22" w:id="17"/>
    <w:p>
      <w:pPr>
        <w:spacing w:after="0"/>
        <w:ind w:left="0"/>
        <w:jc w:val="both"/>
      </w:pPr>
      <w:r>
        <w:rPr>
          <w:rFonts w:ascii="Times New Roman"/>
          <w:b w:val="false"/>
          <w:i w:val="false"/>
          <w:color w:val="000000"/>
          <w:sz w:val="28"/>
        </w:rPr>
        <w:t>
      приобретения акций акционерного общества "Национальная компания "КазМунайГаз" и акционерного общества "Национальная атомная компания "Казатомпром" по решению Правительства с дисконтом к ее рыночной стоимости для финансирования республиканского бюджета с правом приоритетной реализации доли НФРК при проведении международного SPO (Secondary public offering).</w:t>
      </w:r>
    </w:p>
    <w:bookmarkEnd w:id="17"/>
    <w:bookmarkStart w:name="z23" w:id="18"/>
    <w:p>
      <w:pPr>
        <w:spacing w:after="0"/>
        <w:ind w:left="0"/>
        <w:jc w:val="both"/>
      </w:pPr>
      <w:r>
        <w:rPr>
          <w:rFonts w:ascii="Times New Roman"/>
          <w:b w:val="false"/>
          <w:i w:val="false"/>
          <w:color w:val="000000"/>
          <w:sz w:val="28"/>
        </w:rPr>
        <w:t>
      Экспертиза проектов общестранового значения (включая их оценку), предлагаемых к финансированию за счет средств НФРК, а также рассмотрение альтернативных источников финансирования таких проектов, проводится в порядке, определяемом Правительством.</w:t>
      </w:r>
    </w:p>
    <w:bookmarkEnd w:id="18"/>
    <w:bookmarkStart w:name="z24" w:id="19"/>
    <w:p>
      <w:pPr>
        <w:spacing w:after="0"/>
        <w:ind w:left="0"/>
        <w:jc w:val="both"/>
      </w:pPr>
      <w:r>
        <w:rPr>
          <w:rFonts w:ascii="Times New Roman"/>
          <w:b w:val="false"/>
          <w:i w:val="false"/>
          <w:color w:val="000000"/>
          <w:sz w:val="28"/>
        </w:rPr>
        <w:t>
      Средства из НФРК в форме облигационных займов выделяются на следующих условиях:</w:t>
      </w:r>
    </w:p>
    <w:bookmarkEnd w:id="19"/>
    <w:bookmarkStart w:name="z25" w:id="20"/>
    <w:p>
      <w:pPr>
        <w:spacing w:after="0"/>
        <w:ind w:left="0"/>
        <w:jc w:val="both"/>
      </w:pPr>
      <w:r>
        <w:rPr>
          <w:rFonts w:ascii="Times New Roman"/>
          <w:b w:val="false"/>
          <w:i w:val="false"/>
          <w:color w:val="000000"/>
          <w:sz w:val="28"/>
        </w:rPr>
        <w:t>
      облигационные займы в национальной валюте - по ставке не ниже среднегодовой инфляции в Республике Казахстан за последние десять лет согласно последним имеющимся данным по состоянию на конец последнего отчетного года;</w:t>
      </w:r>
    </w:p>
    <w:bookmarkEnd w:id="20"/>
    <w:bookmarkStart w:name="z26" w:id="21"/>
    <w:p>
      <w:pPr>
        <w:spacing w:after="0"/>
        <w:ind w:left="0"/>
        <w:jc w:val="both"/>
      </w:pPr>
      <w:r>
        <w:rPr>
          <w:rFonts w:ascii="Times New Roman"/>
          <w:b w:val="false"/>
          <w:i w:val="false"/>
          <w:color w:val="000000"/>
          <w:sz w:val="28"/>
        </w:rPr>
        <w:t>
      облигационные займы в долларах США - по ставке не ниже среднегодовой инвестиционной доходности активов НФРК за последние десять лет, согласно данным последнего квартального отчета по НФРК, утвержденного Правлением НБ, но не ниже доходности ГЦБ США по состоянию на конец предыдущего квартала с соответствующим сроком обращения;</w:t>
      </w:r>
    </w:p>
    <w:bookmarkEnd w:id="21"/>
    <w:bookmarkStart w:name="z27" w:id="22"/>
    <w:p>
      <w:pPr>
        <w:spacing w:after="0"/>
        <w:ind w:left="0"/>
        <w:jc w:val="both"/>
      </w:pPr>
      <w:r>
        <w:rPr>
          <w:rFonts w:ascii="Times New Roman"/>
          <w:b w:val="false"/>
          <w:i w:val="false"/>
          <w:color w:val="000000"/>
          <w:sz w:val="28"/>
        </w:rPr>
        <w:t>
      доля финансирования из НФРК составляет не более 50% от совокупного объема требуемого финансирования;</w:t>
      </w:r>
    </w:p>
    <w:bookmarkEnd w:id="22"/>
    <w:bookmarkStart w:name="z28" w:id="23"/>
    <w:p>
      <w:pPr>
        <w:spacing w:after="0"/>
        <w:ind w:left="0"/>
        <w:jc w:val="both"/>
      </w:pPr>
      <w:r>
        <w:rPr>
          <w:rFonts w:ascii="Times New Roman"/>
          <w:b w:val="false"/>
          <w:i w:val="false"/>
          <w:color w:val="000000"/>
          <w:sz w:val="28"/>
        </w:rPr>
        <w:t>
      предельный срок облигационных займов составляет не более двадцати лет;</w:t>
      </w:r>
    </w:p>
    <w:bookmarkEnd w:id="23"/>
    <w:bookmarkStart w:name="z29" w:id="24"/>
    <w:p>
      <w:pPr>
        <w:spacing w:after="0"/>
        <w:ind w:left="0"/>
        <w:jc w:val="both"/>
      </w:pPr>
      <w:r>
        <w:rPr>
          <w:rFonts w:ascii="Times New Roman"/>
          <w:b w:val="false"/>
          <w:i w:val="false"/>
          <w:color w:val="000000"/>
          <w:sz w:val="28"/>
        </w:rPr>
        <w:t>
      наличие обязательства по частичному погашению основного долга в период обращения облигаций;</w:t>
      </w:r>
    </w:p>
    <w:bookmarkEnd w:id="24"/>
    <w:bookmarkStart w:name="z30" w:id="25"/>
    <w:p>
      <w:pPr>
        <w:spacing w:after="0"/>
        <w:ind w:left="0"/>
        <w:jc w:val="both"/>
      </w:pPr>
      <w:r>
        <w:rPr>
          <w:rFonts w:ascii="Times New Roman"/>
          <w:b w:val="false"/>
          <w:i w:val="false"/>
          <w:color w:val="000000"/>
          <w:sz w:val="28"/>
        </w:rPr>
        <w:t>
      обязательство частичного и (или) полного досрочного погашения займа после его использования по целевому назначению.</w:t>
      </w:r>
    </w:p>
    <w:bookmarkEnd w:id="25"/>
    <w:bookmarkStart w:name="z31" w:id="26"/>
    <w:p>
      <w:pPr>
        <w:spacing w:after="0"/>
        <w:ind w:left="0"/>
        <w:jc w:val="both"/>
      </w:pPr>
      <w:r>
        <w:rPr>
          <w:rFonts w:ascii="Times New Roman"/>
          <w:b w:val="false"/>
          <w:i w:val="false"/>
          <w:color w:val="000000"/>
          <w:sz w:val="28"/>
        </w:rPr>
        <w:t>
      Средства, полученные от облигационных займов из НФРК, включая средства, выделенные до 2024 года, должны быть использованы в строгом соответствии с целевым назначением, обусловленным в проспекте эмиссии облигации.</w:t>
      </w:r>
    </w:p>
    <w:bookmarkEnd w:id="26"/>
    <w:bookmarkStart w:name="z32" w:id="27"/>
    <w:p>
      <w:pPr>
        <w:spacing w:after="0"/>
        <w:ind w:left="0"/>
        <w:jc w:val="both"/>
      </w:pPr>
      <w:r>
        <w:rPr>
          <w:rFonts w:ascii="Times New Roman"/>
          <w:b w:val="false"/>
          <w:i w:val="false"/>
          <w:color w:val="000000"/>
          <w:sz w:val="28"/>
        </w:rPr>
        <w:t>
      Изменение целевого назначения и (или) срока погашения облигационного займа осуществляется путем выделения нового займа в соответствии с положениями, предусмотренными настоящей Концепцией.</w:t>
      </w:r>
    </w:p>
    <w:bookmarkEnd w:id="27"/>
    <w:bookmarkStart w:name="z33" w:id="28"/>
    <w:p>
      <w:pPr>
        <w:spacing w:after="0"/>
        <w:ind w:left="0"/>
        <w:jc w:val="both"/>
      </w:pPr>
      <w:r>
        <w:rPr>
          <w:rFonts w:ascii="Times New Roman"/>
          <w:b w:val="false"/>
          <w:i w:val="false"/>
          <w:color w:val="000000"/>
          <w:sz w:val="28"/>
        </w:rPr>
        <w:t>
      Отражение в учете и отчетности НФРК долговых ценных бумаг субъектов квазигосударственного сектора осуществляется, согласно международным стандартам финансовой отчетности, по справедливой (рыночной) стоимости в момент первоначального признания.</w:t>
      </w:r>
    </w:p>
    <w:bookmarkEnd w:id="28"/>
    <w:bookmarkStart w:name="z34" w:id="29"/>
    <w:p>
      <w:pPr>
        <w:spacing w:after="0"/>
        <w:ind w:left="0"/>
        <w:jc w:val="both"/>
      </w:pPr>
      <w:r>
        <w:rPr>
          <w:rFonts w:ascii="Times New Roman"/>
          <w:b w:val="false"/>
          <w:i w:val="false"/>
          <w:color w:val="000000"/>
          <w:sz w:val="28"/>
        </w:rPr>
        <w:t>
      Обеспечение сбалансированности бюджета и НФРК будет достигнуто за счет ограничений, установленных бюджетными правилами, предусмотренными настоящей Концепцией.";</w:t>
      </w:r>
    </w:p>
    <w:bookmarkEnd w:id="29"/>
    <w:bookmarkStart w:name="z35" w:id="3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главы</w:t>
      </w:r>
      <w:r>
        <w:rPr>
          <w:rFonts w:ascii="Times New Roman"/>
          <w:b w:val="false"/>
          <w:i w:val="false"/>
          <w:color w:val="000000"/>
          <w:sz w:val="28"/>
        </w:rPr>
        <w:t xml:space="preserve"> "Ограничения по использованию НФРК" изложить в следующей редакции:</w:t>
      </w:r>
    </w:p>
    <w:bookmarkEnd w:id="30"/>
    <w:bookmarkStart w:name="z36" w:id="31"/>
    <w:p>
      <w:pPr>
        <w:spacing w:after="0"/>
        <w:ind w:left="0"/>
        <w:jc w:val="both"/>
      </w:pPr>
      <w:r>
        <w:rPr>
          <w:rFonts w:ascii="Times New Roman"/>
          <w:b w:val="false"/>
          <w:i w:val="false"/>
          <w:color w:val="000000"/>
          <w:sz w:val="28"/>
        </w:rPr>
        <w:t xml:space="preserve">
      "Любое иное использование средств НФРК запрещено, включая инвестирование средств НФРК во внутренние финансовые инструменты казахстанских эмитентов, а также на финансирование/софинансирование текущих расходов государства за счет целевых трансфертов из НФРК, за исключением: </w:t>
      </w:r>
    </w:p>
    <w:bookmarkEnd w:id="31"/>
    <w:bookmarkStart w:name="z37" w:id="32"/>
    <w:p>
      <w:pPr>
        <w:spacing w:after="0"/>
        <w:ind w:left="0"/>
        <w:jc w:val="both"/>
      </w:pPr>
      <w:r>
        <w:rPr>
          <w:rFonts w:ascii="Times New Roman"/>
          <w:b w:val="false"/>
          <w:i w:val="false"/>
          <w:color w:val="000000"/>
          <w:sz w:val="28"/>
        </w:rPr>
        <w:t>
      реализации проектов общестранового значения с получением в каждом случае прямого согласия Главы государства после прохождения соответствующей экспертизы (включая оценку проекта) и при отсутствии альтернативных источников финансирования путем приобретения долговых ценных бумаг Фонда, эмитируемых для указанных проектов;</w:t>
      </w:r>
    </w:p>
    <w:bookmarkEnd w:id="32"/>
    <w:bookmarkStart w:name="z38" w:id="33"/>
    <w:p>
      <w:pPr>
        <w:spacing w:after="0"/>
        <w:ind w:left="0"/>
        <w:jc w:val="both"/>
      </w:pPr>
      <w:r>
        <w:rPr>
          <w:rFonts w:ascii="Times New Roman"/>
          <w:b w:val="false"/>
          <w:i w:val="false"/>
          <w:color w:val="000000"/>
          <w:sz w:val="28"/>
        </w:rPr>
        <w:t xml:space="preserve">
      приобретения акций акционерного общества "Национальная компания "КазМунайГаз" и акционерного общества "Национальная атомная компания "Казатомпром" по решению Правительства с дисконтом к ее рыночной стоимости для финансирования республиканского бюджета, с правом приоритетной реализации доли НФРК при проведении международного SPO (Secondary public offering).".   </w:t>
      </w:r>
    </w:p>
    <w:bookmarkEnd w:id="33"/>
    <w:bookmarkStart w:name="z39" w:id="34"/>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