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b37a" w14:textId="910b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 Президента Республики Казахстан от 8 февраля 2023 года № 125 "О подписании Соглашения о допустимых массах, осевых нагрузках и габаритах транспортных средств при движении по автомобильным дорогам государств - членов Евразийского экономического союза, включенным в евразийские транспортные коридоры"</w:t>
      </w:r>
    </w:p>
    <w:p>
      <w:pPr>
        <w:spacing w:after="0"/>
        <w:ind w:left="0"/>
        <w:jc w:val="both"/>
      </w:pPr>
      <w:r>
        <w:rPr>
          <w:rFonts w:ascii="Times New Roman"/>
          <w:b w:val="false"/>
          <w:i w:val="false"/>
          <w:color w:val="000000"/>
          <w:sz w:val="28"/>
        </w:rPr>
        <w:t>Указ Президента Республики Казахстан от 30 апреля 2024 года № 531.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в </w:t>
            </w:r>
            <w:r>
              <w:br/>
            </w:r>
            <w:r>
              <w:rPr>
                <w:rFonts w:ascii="Times New Roman"/>
                <w:b w:val="false"/>
                <w:i w:val="false"/>
                <w:color w:val="000000"/>
                <w:sz w:val="20"/>
              </w:rPr>
              <w:t xml:space="preserve">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8 февраля 2023 года № 125 "О подписании Соглашения о допустимых массах, осевых нагрузках и габаритах транспортных средств при движении по автомобильным дорогам государств - членов Евразийского экономического союза, включенным в евразийские транспортные коридоры"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"2. Заместителю Премьер-Министра Республики Казахстан Жумангарину Серику Макашевичу подписать от имени Республики Казахстан Соглашение, разрешив вносить изменения и дополнения, не имеющие принципиального характера.";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w:t>
      </w:r>
      <w:r>
        <w:rPr>
          <w:rFonts w:ascii="Times New Roman"/>
          <w:b w:val="false"/>
          <w:i w:val="false"/>
          <w:color w:val="000000"/>
          <w:sz w:val="28"/>
        </w:rPr>
        <w:t xml:space="preserve"> Соглашения, одобренный вышеназванным Указом,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p>
    <w:bookmarkStart w:name="z9" w:id="3"/>
    <w:p>
      <w:pPr>
        <w:spacing w:after="0"/>
        <w:ind w:left="0"/>
        <w:jc w:val="both"/>
      </w:pPr>
      <w:r>
        <w:rPr>
          <w:rFonts w:ascii="Times New Roman"/>
          <w:b w:val="false"/>
          <w:i w:val="false"/>
          <w:color w:val="000000"/>
          <w:sz w:val="28"/>
        </w:rPr>
        <w:t xml:space="preserve">
      2. Настоящий Указ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Указу Президента Республики  </w:t>
            </w:r>
            <w:r>
              <w:br/>
            </w:r>
            <w:r>
              <w:rPr>
                <w:rFonts w:ascii="Times New Roman"/>
                <w:b w:val="false"/>
                <w:i w:val="false"/>
                <w:color w:val="000000"/>
                <w:sz w:val="20"/>
              </w:rPr>
              <w:t xml:space="preserve">Казахстан от 30 апреля 2024  </w:t>
            </w:r>
            <w:r>
              <w:br/>
            </w:r>
            <w:r>
              <w:rPr>
                <w:rFonts w:ascii="Times New Roman"/>
                <w:b w:val="false"/>
                <w:i w:val="false"/>
                <w:color w:val="000000"/>
                <w:sz w:val="20"/>
              </w:rPr>
              <w:t xml:space="preserve">года № 531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от 8 февраля 2023 </w:t>
            </w:r>
            <w:r>
              <w:br/>
            </w:r>
            <w:r>
              <w:rPr>
                <w:rFonts w:ascii="Times New Roman"/>
                <w:b w:val="false"/>
                <w:i w:val="false"/>
                <w:color w:val="000000"/>
                <w:sz w:val="20"/>
              </w:rPr>
              <w:t xml:space="preserve">года № 125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4"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о допустимых массах, осевых нагрузках и габаритах транспортных средств при движении по автомобильным дорогам государств - членов Евразийского экономического союза, включенным в евразийские транспортные коридоры </w:t>
      </w:r>
    </w:p>
    <w:bookmarkEnd w:id="4"/>
    <w:bookmarkStart w:name="z15" w:id="5"/>
    <w:p>
      <w:pPr>
        <w:spacing w:after="0"/>
        <w:ind w:left="0"/>
        <w:jc w:val="both"/>
      </w:pPr>
      <w:r>
        <w:rPr>
          <w:rFonts w:ascii="Times New Roman"/>
          <w:b w:val="false"/>
          <w:i w:val="false"/>
          <w:color w:val="000000"/>
          <w:sz w:val="28"/>
        </w:rPr>
        <w:t>
      Государства-члены Евразийского экономического союза, далее именуемые государствами-членами,</w:t>
      </w:r>
    </w:p>
    <w:bookmarkEnd w:id="5"/>
    <w:bookmarkStart w:name="z16" w:id="6"/>
    <w:p>
      <w:pPr>
        <w:spacing w:after="0"/>
        <w:ind w:left="0"/>
        <w:jc w:val="both"/>
      </w:pPr>
      <w:r>
        <w:rPr>
          <w:rFonts w:ascii="Times New Roman"/>
          <w:b w:val="false"/>
          <w:i w:val="false"/>
          <w:color w:val="000000"/>
          <w:sz w:val="28"/>
        </w:rPr>
        <w:t xml:space="preserve">
      основываясь на Договоре о Евразийском экономическом союзе от 29 мая 2014 года, </w:t>
      </w:r>
    </w:p>
    <w:bookmarkEnd w:id="6"/>
    <w:bookmarkStart w:name="z17" w:id="7"/>
    <w:p>
      <w:pPr>
        <w:spacing w:after="0"/>
        <w:ind w:left="0"/>
        <w:jc w:val="both"/>
      </w:pPr>
      <w:r>
        <w:rPr>
          <w:rFonts w:ascii="Times New Roman"/>
          <w:b w:val="false"/>
          <w:i w:val="false"/>
          <w:color w:val="000000"/>
          <w:sz w:val="28"/>
        </w:rPr>
        <w:t xml:space="preserve">
      стремясь к эффективному использованию транзитного потенциала Евразийского экономического союза (далее - Союз), повышению эффективности международных автомобильных перевозок по евразийским транспортным коридорам, </w:t>
      </w:r>
    </w:p>
    <w:bookmarkEnd w:id="7"/>
    <w:bookmarkStart w:name="z18" w:id="8"/>
    <w:p>
      <w:pPr>
        <w:spacing w:after="0"/>
        <w:ind w:left="0"/>
        <w:jc w:val="both"/>
      </w:pPr>
      <w:r>
        <w:rPr>
          <w:rFonts w:ascii="Times New Roman"/>
          <w:b w:val="false"/>
          <w:i w:val="false"/>
          <w:color w:val="000000"/>
          <w:sz w:val="28"/>
        </w:rPr>
        <w:t xml:space="preserve">
      сознавая важность обеспечения сохранности инфраструктуры автомобильных дорог государств-членов и безопасности дорожного движения,  </w:t>
      </w:r>
    </w:p>
    <w:bookmarkEnd w:id="8"/>
    <w:bookmarkStart w:name="z19" w:id="9"/>
    <w:p>
      <w:pPr>
        <w:spacing w:after="0"/>
        <w:ind w:left="0"/>
        <w:jc w:val="both"/>
      </w:pPr>
      <w:r>
        <w:rPr>
          <w:rFonts w:ascii="Times New Roman"/>
          <w:b w:val="false"/>
          <w:i w:val="false"/>
          <w:color w:val="000000"/>
          <w:sz w:val="28"/>
        </w:rPr>
        <w:t xml:space="preserve">
      согласились о нижеследующем: </w:t>
      </w:r>
    </w:p>
    <w:bookmarkEnd w:id="9"/>
    <w:bookmarkStart w:name="z20" w:id="10"/>
    <w:p>
      <w:pPr>
        <w:spacing w:after="0"/>
        <w:ind w:left="0"/>
        <w:jc w:val="left"/>
      </w:pPr>
      <w:r>
        <w:rPr>
          <w:rFonts w:ascii="Times New Roman"/>
          <w:b/>
          <w:i w:val="false"/>
          <w:color w:val="000000"/>
        </w:rPr>
        <w:t xml:space="preserve"> Статья 1</w:t>
      </w:r>
    </w:p>
    <w:bookmarkEnd w:id="10"/>
    <w:bookmarkStart w:name="z21" w:id="11"/>
    <w:p>
      <w:pPr>
        <w:spacing w:after="0"/>
        <w:ind w:left="0"/>
        <w:jc w:val="both"/>
      </w:pPr>
      <w:r>
        <w:rPr>
          <w:rFonts w:ascii="Times New Roman"/>
          <w:b w:val="false"/>
          <w:i w:val="false"/>
          <w:color w:val="000000"/>
          <w:sz w:val="28"/>
        </w:rPr>
        <w:t>
      1. Для целей настоящего Соглашения используются понятия, которые означают следующее:</w:t>
      </w:r>
    </w:p>
    <w:bookmarkEnd w:id="11"/>
    <w:bookmarkStart w:name="z22" w:id="12"/>
    <w:p>
      <w:pPr>
        <w:spacing w:after="0"/>
        <w:ind w:left="0"/>
        <w:jc w:val="both"/>
      </w:pPr>
      <w:r>
        <w:rPr>
          <w:rFonts w:ascii="Times New Roman"/>
          <w:b w:val="false"/>
          <w:i w:val="false"/>
          <w:color w:val="000000"/>
          <w:sz w:val="28"/>
        </w:rPr>
        <w:t>
      "автобус" - транспортное средство, предназначенное для перевозки пассажиров и багажа, имеющее более 8 мест для сидения, не считая места водителя;</w:t>
      </w:r>
    </w:p>
    <w:bookmarkEnd w:id="12"/>
    <w:bookmarkStart w:name="z23" w:id="13"/>
    <w:p>
      <w:pPr>
        <w:spacing w:after="0"/>
        <w:ind w:left="0"/>
        <w:jc w:val="both"/>
      </w:pPr>
      <w:r>
        <w:rPr>
          <w:rFonts w:ascii="Times New Roman"/>
          <w:b w:val="false"/>
          <w:i w:val="false"/>
          <w:color w:val="000000"/>
          <w:sz w:val="28"/>
        </w:rPr>
        <w:t>
      "автопоезд" - комбинированное транспортное средство, состоящее из грузового автомобиля и прицепа (прицепной автопоезд), тягача и полуприцепа (седельный автопоезд);</w:t>
      </w:r>
    </w:p>
    <w:bookmarkEnd w:id="13"/>
    <w:bookmarkStart w:name="z24" w:id="14"/>
    <w:p>
      <w:pPr>
        <w:spacing w:after="0"/>
        <w:ind w:left="0"/>
        <w:jc w:val="both"/>
      </w:pPr>
      <w:r>
        <w:rPr>
          <w:rFonts w:ascii="Times New Roman"/>
          <w:b w:val="false"/>
          <w:i w:val="false"/>
          <w:color w:val="000000"/>
          <w:sz w:val="28"/>
        </w:rPr>
        <w:t xml:space="preserve">
      "грузовой автомобиль" - транспортное средство, снабженное </w:t>
      </w:r>
      <w:r>
        <w:rPr>
          <w:rFonts w:ascii="Times New Roman"/>
          <w:b w:val="false"/>
          <w:i w:val="false"/>
          <w:color w:val="000000"/>
          <w:sz w:val="28"/>
        </w:rPr>
        <w:t>собственным двигателем и предназначенное для перевозки грузов по автомобильным дорогам;</w:t>
      </w:r>
    </w:p>
    <w:bookmarkEnd w:id="14"/>
    <w:bookmarkStart w:name="z26" w:id="15"/>
    <w:p>
      <w:pPr>
        <w:spacing w:after="0"/>
        <w:ind w:left="0"/>
        <w:jc w:val="both"/>
      </w:pPr>
      <w:r>
        <w:rPr>
          <w:rFonts w:ascii="Times New Roman"/>
          <w:b w:val="false"/>
          <w:i w:val="false"/>
          <w:color w:val="000000"/>
          <w:sz w:val="28"/>
        </w:rPr>
        <w:t>
      "допустимая высота транспортного средства" - высота транспортного средства с грузом или без груза, не превышающая значений, указанных в приложении № 1;</w:t>
      </w:r>
    </w:p>
    <w:bookmarkEnd w:id="15"/>
    <w:bookmarkStart w:name="z27" w:id="16"/>
    <w:p>
      <w:pPr>
        <w:spacing w:after="0"/>
        <w:ind w:left="0"/>
        <w:jc w:val="both"/>
      </w:pPr>
      <w:r>
        <w:rPr>
          <w:rFonts w:ascii="Times New Roman"/>
          <w:b w:val="false"/>
          <w:i w:val="false"/>
          <w:color w:val="000000"/>
          <w:sz w:val="28"/>
        </w:rPr>
        <w:t>
      "допустимая длина транспортного средства" - длина транспортного средства с грузом или без груза, не превышающая значений, указанных в приложении № 1;</w:t>
      </w:r>
    </w:p>
    <w:bookmarkEnd w:id="16"/>
    <w:bookmarkStart w:name="z28" w:id="17"/>
    <w:p>
      <w:pPr>
        <w:spacing w:after="0"/>
        <w:ind w:left="0"/>
        <w:jc w:val="both"/>
      </w:pPr>
      <w:r>
        <w:rPr>
          <w:rFonts w:ascii="Times New Roman"/>
          <w:b w:val="false"/>
          <w:i w:val="false"/>
          <w:color w:val="000000"/>
          <w:sz w:val="28"/>
        </w:rPr>
        <w:t>
      "допустимая ширина транспортного средства" - ширина транспортного средства с грузом или без груза, не превышающая значений, указанных в приложении № 1;</w:t>
      </w:r>
    </w:p>
    <w:bookmarkEnd w:id="17"/>
    <w:bookmarkStart w:name="z29" w:id="18"/>
    <w:p>
      <w:pPr>
        <w:spacing w:after="0"/>
        <w:ind w:left="0"/>
        <w:jc w:val="both"/>
      </w:pPr>
      <w:r>
        <w:rPr>
          <w:rFonts w:ascii="Times New Roman"/>
          <w:b w:val="false"/>
          <w:i w:val="false"/>
          <w:color w:val="000000"/>
          <w:sz w:val="28"/>
        </w:rPr>
        <w:t>
      "допустимая масса транспортного средства" - масса транспортного средства с грузом или без груза, не превышающая значений, указанных в приложении № 2;</w:t>
      </w:r>
    </w:p>
    <w:bookmarkEnd w:id="18"/>
    <w:bookmarkStart w:name="z30" w:id="19"/>
    <w:p>
      <w:pPr>
        <w:spacing w:after="0"/>
        <w:ind w:left="0"/>
        <w:jc w:val="both"/>
      </w:pPr>
      <w:r>
        <w:rPr>
          <w:rFonts w:ascii="Times New Roman"/>
          <w:b w:val="false"/>
          <w:i w:val="false"/>
          <w:color w:val="000000"/>
          <w:sz w:val="28"/>
        </w:rPr>
        <w:t>
      "допустимая масса, приходящаяся на ось или группу осей" - масса с грузом или без груза, передающаяся через ось или группу осей транспортного средства на поверхность автомобильной дороги, величина которой не превышает значений, указанных в приложении № 3;</w:t>
      </w:r>
    </w:p>
    <w:bookmarkEnd w:id="19"/>
    <w:bookmarkStart w:name="z31" w:id="20"/>
    <w:p>
      <w:pPr>
        <w:spacing w:after="0"/>
        <w:ind w:left="0"/>
        <w:jc w:val="both"/>
      </w:pPr>
      <w:r>
        <w:rPr>
          <w:rFonts w:ascii="Times New Roman"/>
          <w:b w:val="false"/>
          <w:i w:val="false"/>
          <w:color w:val="000000"/>
          <w:sz w:val="28"/>
        </w:rPr>
        <w:t>
      "евразийский транспортный коридор" - совокупность маршрутов, интегрированных в том числе в сеть международных транспортных коридоров, проходящих по территориям государств-членов и обеспечивающих перевозки пассажиров и грузов в международном сообщении на направлениях их наибольшей концентрации, а также совокупность технологических и организационно-правовых условий осуществления этих перевозок;</w:t>
      </w:r>
    </w:p>
    <w:bookmarkEnd w:id="20"/>
    <w:bookmarkStart w:name="z32" w:id="21"/>
    <w:p>
      <w:pPr>
        <w:spacing w:after="0"/>
        <w:ind w:left="0"/>
        <w:jc w:val="both"/>
      </w:pPr>
      <w:r>
        <w:rPr>
          <w:rFonts w:ascii="Times New Roman"/>
          <w:b w:val="false"/>
          <w:i w:val="false"/>
          <w:color w:val="000000"/>
          <w:sz w:val="28"/>
        </w:rPr>
        <w:t>
      "компетентный орган государства-члена" - орган исполнительной власти государства-члена, к полномочиям которого отнесены вопросы, связанные с реализацией настоящего Соглашения;</w:t>
      </w:r>
    </w:p>
    <w:bookmarkEnd w:id="21"/>
    <w:bookmarkStart w:name="z33" w:id="22"/>
    <w:p>
      <w:pPr>
        <w:spacing w:after="0"/>
        <w:ind w:left="0"/>
        <w:jc w:val="both"/>
      </w:pPr>
      <w:r>
        <w:rPr>
          <w:rFonts w:ascii="Times New Roman"/>
          <w:b w:val="false"/>
          <w:i w:val="false"/>
          <w:color w:val="000000"/>
          <w:sz w:val="28"/>
        </w:rPr>
        <w:t>
      "неделимый груз" - груз, который не может быть разделен на части без потери потребительских свойств или без риска его повреждения.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bookmarkEnd w:id="22"/>
    <w:bookmarkStart w:name="z34" w:id="23"/>
    <w:p>
      <w:pPr>
        <w:spacing w:after="0"/>
        <w:ind w:left="0"/>
        <w:jc w:val="both"/>
      </w:pPr>
      <w:r>
        <w:rPr>
          <w:rFonts w:ascii="Times New Roman"/>
          <w:b w:val="false"/>
          <w:i w:val="false"/>
          <w:color w:val="000000"/>
          <w:sz w:val="28"/>
        </w:rPr>
        <w:t>
      "полуприцеп" - специально оборудованное для перевозки грузов транспортное средство, предназначенное для соединения с тягачом таким образом, чтобы часть этого транспортного средства располагалась непосредственно на тягаче и передавала ему долю своего веса;</w:t>
      </w:r>
    </w:p>
    <w:bookmarkEnd w:id="23"/>
    <w:bookmarkStart w:name="z35" w:id="24"/>
    <w:p>
      <w:pPr>
        <w:spacing w:after="0"/>
        <w:ind w:left="0"/>
        <w:jc w:val="both"/>
      </w:pPr>
      <w:r>
        <w:rPr>
          <w:rFonts w:ascii="Times New Roman"/>
          <w:b w:val="false"/>
          <w:i w:val="false"/>
          <w:color w:val="000000"/>
          <w:sz w:val="28"/>
        </w:rPr>
        <w:t>
      "прицеп" - транспортное средство, предназначенное для перевозки грузов путем буксировки тягачом или грузовым автомобилем;</w:t>
      </w:r>
    </w:p>
    <w:bookmarkEnd w:id="24"/>
    <w:bookmarkStart w:name="z36" w:id="25"/>
    <w:p>
      <w:pPr>
        <w:spacing w:after="0"/>
        <w:ind w:left="0"/>
        <w:jc w:val="both"/>
      </w:pPr>
      <w:r>
        <w:rPr>
          <w:rFonts w:ascii="Times New Roman"/>
          <w:b w:val="false"/>
          <w:i w:val="false"/>
          <w:color w:val="000000"/>
          <w:sz w:val="28"/>
        </w:rPr>
        <w:t>
      "сочлененный автобус" - автобус, состоящий из двух или более жестких секций, шарнирно соединенных друг с другом и имеющих пассажирский салон в каждой секции, позволяющий пассажирам свободно перемещаться из одного салона в другой;</w:t>
      </w:r>
    </w:p>
    <w:bookmarkEnd w:id="25"/>
    <w:bookmarkStart w:name="z37" w:id="26"/>
    <w:p>
      <w:pPr>
        <w:spacing w:after="0"/>
        <w:ind w:left="0"/>
        <w:jc w:val="both"/>
      </w:pPr>
      <w:r>
        <w:rPr>
          <w:rFonts w:ascii="Times New Roman"/>
          <w:b w:val="false"/>
          <w:i w:val="false"/>
          <w:color w:val="000000"/>
          <w:sz w:val="28"/>
        </w:rPr>
        <w:t>
      "специальное разрешение" - разовое или многократное разрешение, выданное в установленном порядке уполномоченным органом государства- члена, на проезд по евразийским транспортным коридорам транспортного средства, весовые и (или) габаритные параметры которого с грузом или без груза превышают установленные в соответствии с настоящим Соглашением допустимые значения;</w:t>
      </w:r>
    </w:p>
    <w:bookmarkEnd w:id="26"/>
    <w:bookmarkStart w:name="z38" w:id="27"/>
    <w:p>
      <w:pPr>
        <w:spacing w:after="0"/>
        <w:ind w:left="0"/>
        <w:jc w:val="both"/>
      </w:pPr>
      <w:r>
        <w:rPr>
          <w:rFonts w:ascii="Times New Roman"/>
          <w:b w:val="false"/>
          <w:i w:val="false"/>
          <w:color w:val="000000"/>
          <w:sz w:val="28"/>
        </w:rPr>
        <w:t>
      "тягач" - транспортное средство, снабженное собственным двигателем и предназначенное исключительно или преимущественно для буксировки прицепа или полуприцепа;</w:t>
      </w:r>
    </w:p>
    <w:bookmarkEnd w:id="27"/>
    <w:bookmarkStart w:name="z39" w:id="28"/>
    <w:p>
      <w:pPr>
        <w:spacing w:after="0"/>
        <w:ind w:left="0"/>
        <w:jc w:val="both"/>
      </w:pPr>
      <w:r>
        <w:rPr>
          <w:rFonts w:ascii="Times New Roman"/>
          <w:b w:val="false"/>
          <w:i w:val="false"/>
          <w:color w:val="000000"/>
          <w:sz w:val="28"/>
        </w:rPr>
        <w:t>
      "тяжеловесное и (или) крупногабаритное транспортное средство" - транспортное средство, максимальные весовые и (или) габаритные параметры которого с грузом или без груза превышают значения, указанные в приложениях № 1 - 3 к настоящему Соглашению;</w:t>
      </w:r>
    </w:p>
    <w:bookmarkEnd w:id="28"/>
    <w:bookmarkStart w:name="z40" w:id="29"/>
    <w:p>
      <w:pPr>
        <w:spacing w:after="0"/>
        <w:ind w:left="0"/>
        <w:jc w:val="both"/>
      </w:pPr>
      <w:r>
        <w:rPr>
          <w:rFonts w:ascii="Times New Roman"/>
          <w:b w:val="false"/>
          <w:i w:val="false"/>
          <w:color w:val="000000"/>
          <w:sz w:val="28"/>
        </w:rPr>
        <w:t>
      "уполномоченный орган государства-члена" - орган государственной власти государства-члена, осуществляющий выдачу специального разрешения.</w:t>
      </w:r>
    </w:p>
    <w:bookmarkEnd w:id="29"/>
    <w:bookmarkStart w:name="z41" w:id="30"/>
    <w:p>
      <w:pPr>
        <w:spacing w:after="0"/>
        <w:ind w:left="0"/>
        <w:jc w:val="both"/>
      </w:pPr>
      <w:r>
        <w:rPr>
          <w:rFonts w:ascii="Times New Roman"/>
          <w:b w:val="false"/>
          <w:i w:val="false"/>
          <w:color w:val="000000"/>
          <w:sz w:val="28"/>
        </w:rPr>
        <w:t>
      2. Иные понятия, используемые в настоящем Соглашении, применяются в значениях, определенных Договором о Евразийском экономическом союзе от 29 мая 2014 года и международными договорами в рамках Союза.</w:t>
      </w:r>
    </w:p>
    <w:bookmarkEnd w:id="30"/>
    <w:bookmarkStart w:name="z42" w:id="31"/>
    <w:p>
      <w:pPr>
        <w:spacing w:after="0"/>
        <w:ind w:left="0"/>
        <w:jc w:val="left"/>
      </w:pPr>
      <w:r>
        <w:rPr>
          <w:rFonts w:ascii="Times New Roman"/>
          <w:b/>
          <w:i w:val="false"/>
          <w:color w:val="000000"/>
        </w:rPr>
        <w:t xml:space="preserve"> Статья 2</w:t>
      </w:r>
    </w:p>
    <w:bookmarkEnd w:id="31"/>
    <w:bookmarkStart w:name="z43" w:id="32"/>
    <w:p>
      <w:pPr>
        <w:spacing w:after="0"/>
        <w:ind w:left="0"/>
        <w:jc w:val="both"/>
      </w:pPr>
      <w:r>
        <w:rPr>
          <w:rFonts w:ascii="Times New Roman"/>
          <w:b w:val="false"/>
          <w:i w:val="false"/>
          <w:color w:val="000000"/>
          <w:sz w:val="28"/>
        </w:rPr>
        <w:t>
      Настоящее Соглашение устанавливает допустимые массы, осевые нагрузки и габариты транспортных средств при движении по автомобильным дорогам государств-членов, включенным в евразийские транспортные коридоры (далее - автомобильные дороги). Перечень евразийских транспортных коридоров утверждается Евразийской экономической комиссией.</w:t>
      </w:r>
    </w:p>
    <w:bookmarkEnd w:id="32"/>
    <w:bookmarkStart w:name="z44" w:id="33"/>
    <w:p>
      <w:pPr>
        <w:spacing w:after="0"/>
        <w:ind w:left="0"/>
        <w:jc w:val="left"/>
      </w:pPr>
      <w:r>
        <w:rPr>
          <w:rFonts w:ascii="Times New Roman"/>
          <w:b/>
          <w:i w:val="false"/>
          <w:color w:val="000000"/>
        </w:rPr>
        <w:t xml:space="preserve"> Статья 3</w:t>
      </w:r>
    </w:p>
    <w:bookmarkEnd w:id="33"/>
    <w:bookmarkStart w:name="z45" w:id="34"/>
    <w:p>
      <w:pPr>
        <w:spacing w:after="0"/>
        <w:ind w:left="0"/>
        <w:jc w:val="both"/>
      </w:pPr>
      <w:r>
        <w:rPr>
          <w:rFonts w:ascii="Times New Roman"/>
          <w:b w:val="false"/>
          <w:i w:val="false"/>
          <w:color w:val="000000"/>
          <w:sz w:val="28"/>
        </w:rPr>
        <w:t>
      1. Определяемые настоящим Соглашением допустимые массы, осевые нагрузки и габариты транспортных средств соблюдаются как минимальные требования к размерам и массам транспортных средств исходя из технической возможности их пропуска по автомобильным дорогам.</w:t>
      </w:r>
    </w:p>
    <w:bookmarkEnd w:id="34"/>
    <w:bookmarkStart w:name="z46" w:id="35"/>
    <w:p>
      <w:pPr>
        <w:spacing w:after="0"/>
        <w:ind w:left="0"/>
        <w:jc w:val="both"/>
      </w:pPr>
      <w:r>
        <w:rPr>
          <w:rFonts w:ascii="Times New Roman"/>
          <w:b w:val="false"/>
          <w:i w:val="false"/>
          <w:color w:val="000000"/>
          <w:sz w:val="28"/>
        </w:rPr>
        <w:t>
      Установленные настоящим Соглашением допустимые массы, осевые нагрузки и габариты транспортных средств не относятся к производству транспортных средств.</w:t>
      </w:r>
    </w:p>
    <w:bookmarkEnd w:id="35"/>
    <w:bookmarkStart w:name="z47" w:id="36"/>
    <w:p>
      <w:pPr>
        <w:spacing w:after="0"/>
        <w:ind w:left="0"/>
        <w:jc w:val="both"/>
      </w:pPr>
      <w:r>
        <w:rPr>
          <w:rFonts w:ascii="Times New Roman"/>
          <w:b w:val="false"/>
          <w:i w:val="false"/>
          <w:color w:val="000000"/>
          <w:sz w:val="28"/>
        </w:rPr>
        <w:t>
      2. Законодательством государств-членов могут быть установлены иные значения допустимой массы, осевой нагрузки и габаритов транспортных средств при движении по автомобильным дорогам соответствующего государства-члена, которые не могут быть ниже установленных настоящим Соглашением значений.</w:t>
      </w:r>
    </w:p>
    <w:bookmarkEnd w:id="36"/>
    <w:bookmarkStart w:name="z48" w:id="37"/>
    <w:p>
      <w:pPr>
        <w:spacing w:after="0"/>
        <w:ind w:left="0"/>
        <w:jc w:val="both"/>
      </w:pPr>
      <w:r>
        <w:rPr>
          <w:rFonts w:ascii="Times New Roman"/>
          <w:b w:val="false"/>
          <w:i w:val="false"/>
          <w:color w:val="000000"/>
          <w:sz w:val="28"/>
        </w:rPr>
        <w:t>
      3. В соответствии с законодательством государств-членов на автомобильных дорогах на недискриминационной основе может быть временно ограничено или прекращено движение транспортных средств. В случае принятия решений о временном ограничении или прекращении движения транспортных средств по таким автомобильным дорогам их владельцы принимают меры по организации дорожного движения, в том числе посредством устройства объезда, а также информируют пользователей автомобильных дорог о сроках временного ограничения или прекращения движения транспортных средств и о возможности воспользоваться объездом.</w:t>
      </w:r>
    </w:p>
    <w:bookmarkEnd w:id="37"/>
    <w:bookmarkStart w:name="z49" w:id="38"/>
    <w:p>
      <w:pPr>
        <w:spacing w:after="0"/>
        <w:ind w:left="0"/>
        <w:jc w:val="both"/>
      </w:pPr>
      <w:r>
        <w:rPr>
          <w:rFonts w:ascii="Times New Roman"/>
          <w:b w:val="false"/>
          <w:i w:val="false"/>
          <w:color w:val="000000"/>
          <w:sz w:val="28"/>
        </w:rPr>
        <w:t>
      На автомобильных дорогах не допускается снижение значений допустимых масс транспортного средства и массы, приходящейся на ось или группу осей транспортных средств, указанных в приложениях № 2 и 3 к настоящему Соглашению, на период снижения несущей способности конструктивных элементов автомобильной дороги, вызванного неблагоприятными природно-климатическими условиями.</w:t>
      </w:r>
    </w:p>
    <w:bookmarkEnd w:id="38"/>
    <w:bookmarkStart w:name="z50" w:id="39"/>
    <w:p>
      <w:pPr>
        <w:spacing w:after="0"/>
        <w:ind w:left="0"/>
        <w:jc w:val="left"/>
      </w:pPr>
      <w:r>
        <w:rPr>
          <w:rFonts w:ascii="Times New Roman"/>
          <w:b/>
          <w:i w:val="false"/>
          <w:color w:val="000000"/>
        </w:rPr>
        <w:t xml:space="preserve"> Статья 4</w:t>
      </w:r>
    </w:p>
    <w:bookmarkEnd w:id="39"/>
    <w:bookmarkStart w:name="z51" w:id="40"/>
    <w:p>
      <w:pPr>
        <w:spacing w:after="0"/>
        <w:ind w:left="0"/>
        <w:jc w:val="both"/>
      </w:pPr>
      <w:r>
        <w:rPr>
          <w:rFonts w:ascii="Times New Roman"/>
          <w:b w:val="false"/>
          <w:i w:val="false"/>
          <w:color w:val="000000"/>
          <w:sz w:val="28"/>
        </w:rPr>
        <w:t>
      1. При осуществлении перевозок по автомобильным дорогам государства-члены должны стремиться к тому, чтобы габариты, массы транспортных средств и массы, приходящиеся на ось или группу осей транспортных средств, не превышали значений, установленных настоящим Соглашением и законодательством государств-членов.</w:t>
      </w:r>
    </w:p>
    <w:bookmarkEnd w:id="40"/>
    <w:bookmarkStart w:name="z52" w:id="41"/>
    <w:p>
      <w:pPr>
        <w:spacing w:after="0"/>
        <w:ind w:left="0"/>
        <w:jc w:val="both"/>
      </w:pPr>
      <w:r>
        <w:rPr>
          <w:rFonts w:ascii="Times New Roman"/>
          <w:b w:val="false"/>
          <w:i w:val="false"/>
          <w:color w:val="000000"/>
          <w:sz w:val="28"/>
        </w:rPr>
        <w:t>
      2. Наличие специального разрешения для движения транспортного средства по автомобильным дорогам требуется при превышении им допустимых масс, осевых нагрузок и габаритных значений, указанных в приложениях № 1 - 3 к настоящему Соглашению, а в случае установления законодательством государств-членов иных значений в соответствии с пунктом 2 статьи 3 настоящего Соглашения - при превышении данных значений.</w:t>
      </w:r>
    </w:p>
    <w:bookmarkEnd w:id="41"/>
    <w:bookmarkStart w:name="z53" w:id="42"/>
    <w:p>
      <w:pPr>
        <w:spacing w:after="0"/>
        <w:ind w:left="0"/>
        <w:jc w:val="both"/>
      </w:pPr>
      <w:r>
        <w:rPr>
          <w:rFonts w:ascii="Times New Roman"/>
          <w:b w:val="false"/>
          <w:i w:val="false"/>
          <w:color w:val="000000"/>
          <w:sz w:val="28"/>
        </w:rPr>
        <w:t>
      3. Законодательством государств-членов могут быть установлены ограничения на выдачу специальных разрешений на движение тяжеловесных и (или) крупногабаритных транспортных средств, указанных в пункте 2 настоящей статьи, с грузом, который не является неделимым.</w:t>
      </w:r>
    </w:p>
    <w:bookmarkEnd w:id="42"/>
    <w:bookmarkStart w:name="z54" w:id="43"/>
    <w:p>
      <w:pPr>
        <w:spacing w:after="0"/>
        <w:ind w:left="0"/>
        <w:jc w:val="left"/>
      </w:pPr>
      <w:r>
        <w:rPr>
          <w:rFonts w:ascii="Times New Roman"/>
          <w:b/>
          <w:i w:val="false"/>
          <w:color w:val="000000"/>
        </w:rPr>
        <w:t xml:space="preserve"> Статья 5</w:t>
      </w:r>
    </w:p>
    <w:bookmarkEnd w:id="43"/>
    <w:bookmarkStart w:name="z55" w:id="44"/>
    <w:p>
      <w:pPr>
        <w:spacing w:after="0"/>
        <w:ind w:left="0"/>
        <w:jc w:val="both"/>
      </w:pPr>
      <w:r>
        <w:rPr>
          <w:rFonts w:ascii="Times New Roman"/>
          <w:b w:val="false"/>
          <w:i w:val="false"/>
          <w:color w:val="000000"/>
          <w:sz w:val="28"/>
        </w:rPr>
        <w:t>
      Государства-члены примут меры для того, чтобы автомобильные дороги, участки автомобильных дорог в полной мере отвечали требованиям для движения по ним транспортных средств с допустимыми значениями массы, осевой нагрузки и габаритов, установленными настоящим Соглашением.</w:t>
      </w:r>
    </w:p>
    <w:bookmarkEnd w:id="44"/>
    <w:bookmarkStart w:name="z56" w:id="45"/>
    <w:p>
      <w:pPr>
        <w:spacing w:after="0"/>
        <w:ind w:left="0"/>
        <w:jc w:val="left"/>
      </w:pPr>
      <w:r>
        <w:rPr>
          <w:rFonts w:ascii="Times New Roman"/>
          <w:b/>
          <w:i w:val="false"/>
          <w:color w:val="000000"/>
        </w:rPr>
        <w:t xml:space="preserve"> Статья 6</w:t>
      </w:r>
    </w:p>
    <w:bookmarkEnd w:id="45"/>
    <w:bookmarkStart w:name="z57" w:id="46"/>
    <w:p>
      <w:pPr>
        <w:spacing w:after="0"/>
        <w:ind w:left="0"/>
        <w:jc w:val="both"/>
      </w:pPr>
      <w:r>
        <w:rPr>
          <w:rFonts w:ascii="Times New Roman"/>
          <w:b w:val="false"/>
          <w:i w:val="false"/>
          <w:color w:val="000000"/>
          <w:sz w:val="28"/>
        </w:rPr>
        <w:t>
      Споры, связанные с толкованием и (или) применением настоящего Соглашения, разрешаются в порядке, определенном Договором о Евразийском экономическом союзе от 29 мая 2014 года.</w:t>
      </w:r>
    </w:p>
    <w:bookmarkEnd w:id="46"/>
    <w:bookmarkStart w:name="z58" w:id="47"/>
    <w:p>
      <w:pPr>
        <w:spacing w:after="0"/>
        <w:ind w:left="0"/>
        <w:jc w:val="left"/>
      </w:pPr>
      <w:r>
        <w:rPr>
          <w:rFonts w:ascii="Times New Roman"/>
          <w:b/>
          <w:i w:val="false"/>
          <w:color w:val="000000"/>
        </w:rPr>
        <w:t xml:space="preserve"> Статья 7</w:t>
      </w:r>
    </w:p>
    <w:bookmarkEnd w:id="47"/>
    <w:bookmarkStart w:name="z59" w:id="48"/>
    <w:p>
      <w:pPr>
        <w:spacing w:after="0"/>
        <w:ind w:left="0"/>
        <w:jc w:val="both"/>
      </w:pPr>
      <w:r>
        <w:rPr>
          <w:rFonts w:ascii="Times New Roman"/>
          <w:b w:val="false"/>
          <w:i w:val="false"/>
          <w:color w:val="000000"/>
          <w:sz w:val="28"/>
        </w:rPr>
        <w:t>
      1. Государства-члены определяют уполномоченные и компетентные органы, ответственные за реализацию настоящего Соглашения.</w:t>
      </w:r>
    </w:p>
    <w:bookmarkEnd w:id="48"/>
    <w:bookmarkStart w:name="z60" w:id="49"/>
    <w:p>
      <w:pPr>
        <w:spacing w:after="0"/>
        <w:ind w:left="0"/>
        <w:jc w:val="both"/>
      </w:pPr>
      <w:r>
        <w:rPr>
          <w:rFonts w:ascii="Times New Roman"/>
          <w:b w:val="false"/>
          <w:i w:val="false"/>
          <w:color w:val="000000"/>
          <w:sz w:val="28"/>
        </w:rPr>
        <w:t>
      2. Государства-члены информируют Евразийскую экономическую комиссию об уполномоченных и компетентных органах, ответственных за реализацию настоящего Соглашения, одновременно с уведомлением о выполнении внутригосударственных процедур, необходимых для вступления настоящего Соглашения в силу. В случае изменения наименования уполномоченного или компетентного органа соответствующее государство-член информирует об этом Евразийскую экономическую комиссию.</w:t>
      </w:r>
    </w:p>
    <w:bookmarkEnd w:id="49"/>
    <w:bookmarkStart w:name="z61" w:id="50"/>
    <w:p>
      <w:pPr>
        <w:spacing w:after="0"/>
        <w:ind w:left="0"/>
        <w:jc w:val="left"/>
      </w:pPr>
      <w:r>
        <w:rPr>
          <w:rFonts w:ascii="Times New Roman"/>
          <w:b/>
          <w:i w:val="false"/>
          <w:color w:val="000000"/>
        </w:rPr>
        <w:t xml:space="preserve"> Статья 8</w:t>
      </w:r>
    </w:p>
    <w:bookmarkEnd w:id="50"/>
    <w:bookmarkStart w:name="z62" w:id="51"/>
    <w:p>
      <w:pPr>
        <w:spacing w:after="0"/>
        <w:ind w:left="0"/>
        <w:jc w:val="both"/>
      </w:pPr>
      <w:r>
        <w:rPr>
          <w:rFonts w:ascii="Times New Roman"/>
          <w:b w:val="false"/>
          <w:i w:val="false"/>
          <w:color w:val="000000"/>
          <w:sz w:val="28"/>
        </w:rPr>
        <w:t>
      Представители компетентных и (или) уполномоченных органов государств-членов могут проводить рабочие встречи по вопросам реализации настоящего Соглашения.</w:t>
      </w:r>
    </w:p>
    <w:bookmarkEnd w:id="51"/>
    <w:bookmarkStart w:name="z63" w:id="52"/>
    <w:p>
      <w:pPr>
        <w:spacing w:after="0"/>
        <w:ind w:left="0"/>
        <w:jc w:val="left"/>
      </w:pPr>
      <w:r>
        <w:rPr>
          <w:rFonts w:ascii="Times New Roman"/>
          <w:b/>
          <w:i w:val="false"/>
          <w:color w:val="000000"/>
        </w:rPr>
        <w:t xml:space="preserve"> Статья 9</w:t>
      </w:r>
    </w:p>
    <w:bookmarkEnd w:id="52"/>
    <w:bookmarkStart w:name="z64" w:id="53"/>
    <w:p>
      <w:pPr>
        <w:spacing w:after="0"/>
        <w:ind w:left="0"/>
        <w:jc w:val="both"/>
      </w:pPr>
      <w:r>
        <w:rPr>
          <w:rFonts w:ascii="Times New Roman"/>
          <w:b w:val="false"/>
          <w:i w:val="false"/>
          <w:color w:val="000000"/>
          <w:sz w:val="28"/>
        </w:rPr>
        <w:t xml:space="preserve">
      1.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вступления настоящего Соглашения в силу. </w:t>
      </w:r>
    </w:p>
    <w:bookmarkEnd w:id="53"/>
    <w:bookmarkStart w:name="z65" w:id="54"/>
    <w:p>
      <w:pPr>
        <w:spacing w:after="0"/>
        <w:ind w:left="0"/>
        <w:jc w:val="both"/>
      </w:pPr>
      <w:r>
        <w:rPr>
          <w:rFonts w:ascii="Times New Roman"/>
          <w:b w:val="false"/>
          <w:i w:val="false"/>
          <w:color w:val="000000"/>
          <w:sz w:val="28"/>
        </w:rPr>
        <w:t xml:space="preserve">
      2. По взаимному согласию государств-членов в настоящее Соглашение могут быть внесены изменения, которые оформляются отдельными протоколами и являются неотъемлемой частью настоящего Соглашения. </w:t>
      </w:r>
    </w:p>
    <w:bookmarkEnd w:id="54"/>
    <w:bookmarkStart w:name="z66" w:id="55"/>
    <w:p>
      <w:pPr>
        <w:spacing w:after="0"/>
        <w:ind w:left="0"/>
        <w:jc w:val="both"/>
      </w:pPr>
      <w:r>
        <w:rPr>
          <w:rFonts w:ascii="Times New Roman"/>
          <w:b w:val="false"/>
          <w:i w:val="false"/>
          <w:color w:val="000000"/>
          <w:sz w:val="28"/>
        </w:rPr>
        <w:t xml:space="preserve">
      3. Настоящее Соглашение является международным договором, заключенным в рамках Союза, и входит в право Союза. </w:t>
      </w:r>
    </w:p>
    <w:bookmarkEnd w:id="55"/>
    <w:bookmarkStart w:name="z67" w:id="56"/>
    <w:p>
      <w:pPr>
        <w:spacing w:after="0"/>
        <w:ind w:left="0"/>
        <w:jc w:val="both"/>
      </w:pPr>
      <w:r>
        <w:rPr>
          <w:rFonts w:ascii="Times New Roman"/>
          <w:b w:val="false"/>
          <w:i w:val="false"/>
          <w:color w:val="000000"/>
          <w:sz w:val="28"/>
        </w:rPr>
        <w:t xml:space="preserve">
      Совершено в городе ______________ "____" _____________ 20__ года в одном подлинном экземпляре на русском языке. </w:t>
      </w:r>
    </w:p>
    <w:bookmarkEnd w:id="56"/>
    <w:bookmarkStart w:name="z68" w:id="57"/>
    <w:p>
      <w:pPr>
        <w:spacing w:after="0"/>
        <w:ind w:left="0"/>
        <w:jc w:val="both"/>
      </w:pP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w:t>
            </w:r>
            <w:r>
              <w:br/>
            </w:r>
            <w:r>
              <w:rPr>
                <w:rFonts w:ascii="Times New Roman"/>
                <w:b w:val="false"/>
                <w:i w:val="false"/>
                <w:color w:val="000000"/>
                <w:sz w:val="20"/>
              </w:rPr>
              <w:t xml:space="preserve">Соглашению о допустимых </w:t>
            </w:r>
            <w:r>
              <w:br/>
            </w:r>
            <w:r>
              <w:rPr>
                <w:rFonts w:ascii="Times New Roman"/>
                <w:b w:val="false"/>
                <w:i w:val="false"/>
                <w:color w:val="000000"/>
                <w:sz w:val="20"/>
              </w:rPr>
              <w:t xml:space="preserve">массах, осевых нагрузках и </w:t>
            </w:r>
            <w:r>
              <w:br/>
            </w:r>
            <w:r>
              <w:rPr>
                <w:rFonts w:ascii="Times New Roman"/>
                <w:b w:val="false"/>
                <w:i w:val="false"/>
                <w:color w:val="000000"/>
                <w:sz w:val="20"/>
              </w:rPr>
              <w:t xml:space="preserve">габаритах транспортных средств </w:t>
            </w:r>
            <w:r>
              <w:br/>
            </w:r>
            <w:r>
              <w:rPr>
                <w:rFonts w:ascii="Times New Roman"/>
                <w:b w:val="false"/>
                <w:i w:val="false"/>
                <w:color w:val="000000"/>
                <w:sz w:val="20"/>
              </w:rPr>
              <w:t xml:space="preserve">при движении по </w:t>
            </w:r>
            <w:r>
              <w:br/>
            </w:r>
            <w:r>
              <w:rPr>
                <w:rFonts w:ascii="Times New Roman"/>
                <w:b w:val="false"/>
                <w:i w:val="false"/>
                <w:color w:val="000000"/>
                <w:sz w:val="20"/>
              </w:rPr>
              <w:t xml:space="preserve">автомобильным дорогам </w:t>
            </w:r>
            <w:r>
              <w:br/>
            </w:r>
            <w:r>
              <w:rPr>
                <w:rFonts w:ascii="Times New Roman"/>
                <w:b w:val="false"/>
                <w:i w:val="false"/>
                <w:color w:val="000000"/>
                <w:sz w:val="20"/>
              </w:rPr>
              <w:t xml:space="preserve">государств - членов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включенным в </w:t>
            </w:r>
            <w:r>
              <w:br/>
            </w:r>
            <w:r>
              <w:rPr>
                <w:rFonts w:ascii="Times New Roman"/>
                <w:b w:val="false"/>
                <w:i w:val="false"/>
                <w:color w:val="000000"/>
                <w:sz w:val="20"/>
              </w:rPr>
              <w:t xml:space="preserve">евразийские транспортные </w:t>
            </w:r>
            <w:r>
              <w:br/>
            </w:r>
            <w:r>
              <w:rPr>
                <w:rFonts w:ascii="Times New Roman"/>
                <w:b w:val="false"/>
                <w:i w:val="false"/>
                <w:color w:val="000000"/>
                <w:sz w:val="20"/>
              </w:rPr>
              <w:t xml:space="preserve">коридоры </w:t>
            </w:r>
          </w:p>
        </w:tc>
      </w:tr>
    </w:tbl>
    <w:bookmarkStart w:name="z70" w:id="58"/>
    <w:p>
      <w:pPr>
        <w:spacing w:after="0"/>
        <w:ind w:left="0"/>
        <w:jc w:val="left"/>
      </w:pPr>
      <w:r>
        <w:rPr>
          <w:rFonts w:ascii="Times New Roman"/>
          <w:b/>
          <w:i w:val="false"/>
          <w:color w:val="000000"/>
        </w:rPr>
        <w:t xml:space="preserve"> Допустимые габариты транспортных средств</w:t>
      </w:r>
    </w:p>
    <w:bookmarkEnd w:id="58"/>
    <w:bookmarkStart w:name="z71" w:id="59"/>
    <w:p>
      <w:pPr>
        <w:spacing w:after="0"/>
        <w:ind w:left="0"/>
        <w:jc w:val="both"/>
      </w:pPr>
      <w:r>
        <w:rPr>
          <w:rFonts w:ascii="Times New Roman"/>
          <w:b w:val="false"/>
          <w:i w:val="false"/>
          <w:color w:val="000000"/>
          <w:sz w:val="28"/>
        </w:rPr>
        <w:t>
      (метров)</w:t>
      </w:r>
    </w:p>
    <w:bookmarkEnd w:id="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 или комбинации транспортных средств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длина транспортного средства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Одиночные транспортные средства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двухосные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 числом осей более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сочлененные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выступающего за заднюю точку габарита транспортного средства груза не должна превышать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 или комбинации транспортных средств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ширина транспортного средства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транспортные средства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Изотермические кузова транспортных средств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 или комбинации транспортных средств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высота транспортного средства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транспортные средства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72" w:id="60"/>
    <w:p>
      <w:pPr>
        <w:spacing w:after="0"/>
        <w:ind w:left="0"/>
        <w:jc w:val="both"/>
      </w:pPr>
      <w:r>
        <w:rPr>
          <w:rFonts w:ascii="Times New Roman"/>
          <w:b w:val="false"/>
          <w:i w:val="false"/>
          <w:color w:val="000000"/>
          <w:sz w:val="28"/>
        </w:rPr>
        <w:t>
      _________________</w:t>
      </w:r>
    </w:p>
    <w:bookmarkEnd w:id="60"/>
    <w:bookmarkStart w:name="z73" w:id="61"/>
    <w:p>
      <w:pPr>
        <w:spacing w:after="0"/>
        <w:ind w:left="0"/>
        <w:jc w:val="both"/>
      </w:pPr>
      <w:r>
        <w:rPr>
          <w:rFonts w:ascii="Times New Roman"/>
          <w:b w:val="false"/>
          <w:i w:val="false"/>
          <w:color w:val="000000"/>
          <w:sz w:val="28"/>
        </w:rPr>
        <w:t>
      Примечания:</w:t>
      </w:r>
    </w:p>
    <w:bookmarkEnd w:id="61"/>
    <w:bookmarkStart w:name="z74" w:id="62"/>
    <w:p>
      <w:pPr>
        <w:spacing w:after="0"/>
        <w:ind w:left="0"/>
        <w:jc w:val="both"/>
      </w:pPr>
      <w:r>
        <w:rPr>
          <w:rFonts w:ascii="Times New Roman"/>
          <w:b w:val="false"/>
          <w:i w:val="false"/>
          <w:color w:val="000000"/>
          <w:sz w:val="28"/>
        </w:rPr>
        <w:t>
      1. Предельно допустимые габариты транспортных средств включают в себя размеры съемных кузовов и тары для грузов, в том числе контейнеров, и не включают размеры навесного оборудования транспортных средств, используемых при строительстве, реконструкции, капитальном ремонте, ремонте и содержании автомобильных дорог.</w:t>
      </w:r>
    </w:p>
    <w:bookmarkEnd w:id="62"/>
    <w:bookmarkStart w:name="z75" w:id="63"/>
    <w:p>
      <w:pPr>
        <w:spacing w:after="0"/>
        <w:ind w:left="0"/>
        <w:jc w:val="both"/>
      </w:pPr>
      <w:r>
        <w:rPr>
          <w:rFonts w:ascii="Times New Roman"/>
          <w:b w:val="false"/>
          <w:i w:val="false"/>
          <w:color w:val="000000"/>
          <w:sz w:val="28"/>
        </w:rPr>
        <w:t>
      2. При измерении длины не учитываются следующие устройства, смонтированные на транспортном средстве:</w:t>
      </w:r>
    </w:p>
    <w:bookmarkEnd w:id="63"/>
    <w:bookmarkStart w:name="z76" w:id="64"/>
    <w:p>
      <w:pPr>
        <w:spacing w:after="0"/>
        <w:ind w:left="0"/>
        <w:jc w:val="both"/>
      </w:pPr>
      <w:r>
        <w:rPr>
          <w:rFonts w:ascii="Times New Roman"/>
          <w:b w:val="false"/>
          <w:i w:val="false"/>
          <w:color w:val="000000"/>
          <w:sz w:val="28"/>
        </w:rPr>
        <w:t>
      устройства очистки и омывания ветрового стекла;</w:t>
      </w:r>
    </w:p>
    <w:bookmarkEnd w:id="64"/>
    <w:bookmarkStart w:name="z77" w:id="65"/>
    <w:p>
      <w:pPr>
        <w:spacing w:after="0"/>
        <w:ind w:left="0"/>
        <w:jc w:val="both"/>
      </w:pPr>
      <w:r>
        <w:rPr>
          <w:rFonts w:ascii="Times New Roman"/>
          <w:b w:val="false"/>
          <w:i w:val="false"/>
          <w:color w:val="000000"/>
          <w:sz w:val="28"/>
        </w:rPr>
        <w:t>
      таблички переднего и заднего регистрационных знаков и конструктивные элементы для установки государственных регистрационных знаков;</w:t>
      </w:r>
    </w:p>
    <w:bookmarkEnd w:id="65"/>
    <w:bookmarkStart w:name="z78" w:id="66"/>
    <w:p>
      <w:pPr>
        <w:spacing w:after="0"/>
        <w:ind w:left="0"/>
        <w:jc w:val="both"/>
      </w:pPr>
      <w:r>
        <w:rPr>
          <w:rFonts w:ascii="Times New Roman"/>
          <w:b w:val="false"/>
          <w:i w:val="false"/>
          <w:color w:val="000000"/>
          <w:sz w:val="28"/>
        </w:rPr>
        <w:t xml:space="preserve">
      таможенная пломбировка и элементы ее защиты; </w:t>
      </w:r>
    </w:p>
    <w:bookmarkEnd w:id="66"/>
    <w:bookmarkStart w:name="z79" w:id="67"/>
    <w:p>
      <w:pPr>
        <w:spacing w:after="0"/>
        <w:ind w:left="0"/>
        <w:jc w:val="both"/>
      </w:pPr>
      <w:r>
        <w:rPr>
          <w:rFonts w:ascii="Times New Roman"/>
          <w:b w:val="false"/>
          <w:i w:val="false"/>
          <w:color w:val="000000"/>
          <w:sz w:val="28"/>
        </w:rPr>
        <w:t xml:space="preserve">
      устройства крепления тента и элементы их защиты; </w:t>
      </w:r>
    </w:p>
    <w:bookmarkEnd w:id="67"/>
    <w:bookmarkStart w:name="z80" w:id="68"/>
    <w:p>
      <w:pPr>
        <w:spacing w:after="0"/>
        <w:ind w:left="0"/>
        <w:jc w:val="both"/>
      </w:pPr>
      <w:r>
        <w:rPr>
          <w:rFonts w:ascii="Times New Roman"/>
          <w:b w:val="false"/>
          <w:i w:val="false"/>
          <w:color w:val="000000"/>
          <w:sz w:val="28"/>
        </w:rPr>
        <w:t xml:space="preserve">
      устройства освещения и световой сигнализации; </w:t>
      </w:r>
    </w:p>
    <w:bookmarkEnd w:id="68"/>
    <w:bookmarkStart w:name="z81" w:id="69"/>
    <w:p>
      <w:pPr>
        <w:spacing w:after="0"/>
        <w:ind w:left="0"/>
        <w:jc w:val="both"/>
      </w:pPr>
      <w:r>
        <w:rPr>
          <w:rFonts w:ascii="Times New Roman"/>
          <w:b w:val="false"/>
          <w:i w:val="false"/>
          <w:color w:val="000000"/>
          <w:sz w:val="28"/>
        </w:rPr>
        <w:t xml:space="preserve">
      наружные зеркала и другие устройства непрямой обзорности; </w:t>
      </w:r>
    </w:p>
    <w:bookmarkEnd w:id="69"/>
    <w:bookmarkStart w:name="z82" w:id="70"/>
    <w:p>
      <w:pPr>
        <w:spacing w:after="0"/>
        <w:ind w:left="0"/>
        <w:jc w:val="both"/>
      </w:pPr>
      <w:r>
        <w:rPr>
          <w:rFonts w:ascii="Times New Roman"/>
          <w:b w:val="false"/>
          <w:i w:val="false"/>
          <w:color w:val="000000"/>
          <w:sz w:val="28"/>
        </w:rPr>
        <w:t>
      вспомогательные средства наблюдения;</w:t>
      </w:r>
    </w:p>
    <w:bookmarkEnd w:id="70"/>
    <w:bookmarkStart w:name="z83" w:id="71"/>
    <w:p>
      <w:pPr>
        <w:spacing w:after="0"/>
        <w:ind w:left="0"/>
        <w:jc w:val="both"/>
      </w:pPr>
      <w:r>
        <w:rPr>
          <w:rFonts w:ascii="Times New Roman"/>
          <w:b w:val="false"/>
          <w:i w:val="false"/>
          <w:color w:val="000000"/>
          <w:sz w:val="28"/>
        </w:rPr>
        <w:t>
      устройства забора воздуха во впускную систему двигателя внутреннего сгорания;</w:t>
      </w:r>
    </w:p>
    <w:bookmarkEnd w:id="71"/>
    <w:bookmarkStart w:name="z84" w:id="72"/>
    <w:p>
      <w:pPr>
        <w:spacing w:after="0"/>
        <w:ind w:left="0"/>
        <w:jc w:val="both"/>
      </w:pPr>
      <w:r>
        <w:rPr>
          <w:rFonts w:ascii="Times New Roman"/>
          <w:b w:val="false"/>
          <w:i w:val="false"/>
          <w:color w:val="000000"/>
          <w:sz w:val="28"/>
        </w:rPr>
        <w:t xml:space="preserve">
      стопорные устройства для демонтируемых кузовов; </w:t>
      </w:r>
    </w:p>
    <w:bookmarkEnd w:id="72"/>
    <w:bookmarkStart w:name="z85" w:id="73"/>
    <w:p>
      <w:pPr>
        <w:spacing w:after="0"/>
        <w:ind w:left="0"/>
        <w:jc w:val="both"/>
      </w:pPr>
      <w:r>
        <w:rPr>
          <w:rFonts w:ascii="Times New Roman"/>
          <w:b w:val="false"/>
          <w:i w:val="false"/>
          <w:color w:val="000000"/>
          <w:sz w:val="28"/>
        </w:rPr>
        <w:t>
      подножки и поручни;</w:t>
      </w:r>
    </w:p>
    <w:bookmarkEnd w:id="73"/>
    <w:bookmarkStart w:name="z86" w:id="74"/>
    <w:p>
      <w:pPr>
        <w:spacing w:after="0"/>
        <w:ind w:left="0"/>
        <w:jc w:val="both"/>
      </w:pPr>
      <w:r>
        <w:rPr>
          <w:rFonts w:ascii="Times New Roman"/>
          <w:b w:val="false"/>
          <w:i w:val="false"/>
          <w:color w:val="000000"/>
          <w:sz w:val="28"/>
        </w:rPr>
        <w:t xml:space="preserve">
      эластичные буферные устройства или аналогичное оборудование; </w:t>
      </w:r>
    </w:p>
    <w:bookmarkEnd w:id="74"/>
    <w:p>
      <w:pPr>
        <w:spacing w:after="0"/>
        <w:ind w:left="0"/>
        <w:jc w:val="both"/>
      </w:pPr>
      <w:r>
        <w:rPr>
          <w:rFonts w:ascii="Times New Roman"/>
          <w:b w:val="false"/>
          <w:i w:val="false"/>
          <w:color w:val="000000"/>
          <w:sz w:val="28"/>
        </w:rPr>
        <w:t xml:space="preserve">
      подъемные платформы, рампы и аналогичное оборудование в положении для движения, не увеличивающие габаритные размеры более чем на 300 мм при условии, что грузоподъемность транспортного средства не увеличена; </w:t>
      </w:r>
    </w:p>
    <w:p>
      <w:pPr>
        <w:spacing w:after="0"/>
        <w:ind w:left="0"/>
        <w:jc w:val="both"/>
      </w:pPr>
      <w:r>
        <w:rPr>
          <w:rFonts w:ascii="Times New Roman"/>
          <w:b w:val="false"/>
          <w:i w:val="false"/>
          <w:color w:val="000000"/>
          <w:sz w:val="28"/>
        </w:rPr>
        <w:t xml:space="preserve">
      сцепные и буксирные устройства транспортных средств; </w:t>
      </w:r>
    </w:p>
    <w:p>
      <w:pPr>
        <w:spacing w:after="0"/>
        <w:ind w:left="0"/>
        <w:jc w:val="both"/>
      </w:pPr>
      <w:r>
        <w:rPr>
          <w:rFonts w:ascii="Times New Roman"/>
          <w:b w:val="false"/>
          <w:i w:val="false"/>
          <w:color w:val="000000"/>
          <w:sz w:val="28"/>
        </w:rPr>
        <w:t xml:space="preserve">
      трубы выпускной системы; </w:t>
      </w:r>
    </w:p>
    <w:p>
      <w:pPr>
        <w:spacing w:after="0"/>
        <w:ind w:left="0"/>
        <w:jc w:val="both"/>
      </w:pPr>
      <w:r>
        <w:rPr>
          <w:rFonts w:ascii="Times New Roman"/>
          <w:b w:val="false"/>
          <w:i w:val="false"/>
          <w:color w:val="000000"/>
          <w:sz w:val="28"/>
        </w:rPr>
        <w:t>
      съемные спойлеры;</w:t>
      </w:r>
    </w:p>
    <w:bookmarkStart w:name="z87" w:id="75"/>
    <w:p>
      <w:pPr>
        <w:spacing w:after="0"/>
        <w:ind w:left="0"/>
        <w:jc w:val="both"/>
      </w:pPr>
      <w:r>
        <w:rPr>
          <w:rFonts w:ascii="Times New Roman"/>
          <w:b w:val="false"/>
          <w:i w:val="false"/>
          <w:color w:val="000000"/>
          <w:sz w:val="28"/>
        </w:rPr>
        <w:t>
      токоприемники транспортных средств с электропитанием от контактной сети;</w:t>
      </w:r>
    </w:p>
    <w:bookmarkEnd w:id="75"/>
    <w:bookmarkStart w:name="z88" w:id="76"/>
    <w:p>
      <w:pPr>
        <w:spacing w:after="0"/>
        <w:ind w:left="0"/>
        <w:jc w:val="both"/>
      </w:pPr>
      <w:r>
        <w:rPr>
          <w:rFonts w:ascii="Times New Roman"/>
          <w:b w:val="false"/>
          <w:i w:val="false"/>
          <w:color w:val="000000"/>
          <w:sz w:val="28"/>
        </w:rPr>
        <w:t>
      наружные солнцезащитные козырьки.</w:t>
      </w:r>
    </w:p>
    <w:bookmarkEnd w:id="76"/>
    <w:bookmarkStart w:name="z89" w:id="77"/>
    <w:p>
      <w:pPr>
        <w:spacing w:after="0"/>
        <w:ind w:left="0"/>
        <w:jc w:val="both"/>
      </w:pPr>
      <w:r>
        <w:rPr>
          <w:rFonts w:ascii="Times New Roman"/>
          <w:b w:val="false"/>
          <w:i w:val="false"/>
          <w:color w:val="000000"/>
          <w:sz w:val="28"/>
        </w:rPr>
        <w:t>
      3. При измерении ширины не учитываются следующие устройства, смонтированные на транспортном средстве:</w:t>
      </w:r>
    </w:p>
    <w:bookmarkEnd w:id="77"/>
    <w:bookmarkStart w:name="z90" w:id="78"/>
    <w:p>
      <w:pPr>
        <w:spacing w:after="0"/>
        <w:ind w:left="0"/>
        <w:jc w:val="both"/>
      </w:pPr>
      <w:r>
        <w:rPr>
          <w:rFonts w:ascii="Times New Roman"/>
          <w:b w:val="false"/>
          <w:i w:val="false"/>
          <w:color w:val="000000"/>
          <w:sz w:val="28"/>
        </w:rPr>
        <w:t xml:space="preserve">
      таможенная пломбировка и элементы ее защиты; </w:t>
      </w:r>
    </w:p>
    <w:bookmarkEnd w:id="78"/>
    <w:p>
      <w:pPr>
        <w:spacing w:after="0"/>
        <w:ind w:left="0"/>
        <w:jc w:val="both"/>
      </w:pPr>
      <w:r>
        <w:rPr>
          <w:rFonts w:ascii="Times New Roman"/>
          <w:b w:val="false"/>
          <w:i w:val="false"/>
          <w:color w:val="000000"/>
          <w:sz w:val="28"/>
        </w:rPr>
        <w:t xml:space="preserve">
      устройства крепления тента и элементы их защиты; </w:t>
      </w:r>
    </w:p>
    <w:p>
      <w:pPr>
        <w:spacing w:after="0"/>
        <w:ind w:left="0"/>
        <w:jc w:val="both"/>
      </w:pPr>
      <w:r>
        <w:rPr>
          <w:rFonts w:ascii="Times New Roman"/>
          <w:b w:val="false"/>
          <w:i w:val="false"/>
          <w:color w:val="000000"/>
          <w:sz w:val="28"/>
        </w:rPr>
        <w:t>
      устройства контроля давления в шинах;</w:t>
      </w:r>
    </w:p>
    <w:bookmarkStart w:name="z91" w:id="79"/>
    <w:p>
      <w:pPr>
        <w:spacing w:after="0"/>
        <w:ind w:left="0"/>
        <w:jc w:val="both"/>
      </w:pPr>
      <w:r>
        <w:rPr>
          <w:rFonts w:ascii="Times New Roman"/>
          <w:b w:val="false"/>
          <w:i w:val="false"/>
          <w:color w:val="000000"/>
          <w:sz w:val="28"/>
        </w:rPr>
        <w:t>
      выступающие гибкие части системы защиты от разбрызгивания из-под колес;</w:t>
      </w:r>
    </w:p>
    <w:bookmarkEnd w:id="79"/>
    <w:bookmarkStart w:name="z92" w:id="80"/>
    <w:p>
      <w:pPr>
        <w:spacing w:after="0"/>
        <w:ind w:left="0"/>
        <w:jc w:val="both"/>
      </w:pPr>
      <w:r>
        <w:rPr>
          <w:rFonts w:ascii="Times New Roman"/>
          <w:b w:val="false"/>
          <w:i w:val="false"/>
          <w:color w:val="000000"/>
          <w:sz w:val="28"/>
        </w:rPr>
        <w:t>
      входные рампы в положении для движения, подъемные платформы и аналогичное оборудование в положении для движения транспортных средств категории М3 при условии, что эти устройства не выступают более чем на 10 мм за боковую поверхность транспортного средства и угловые кромки рамп, направленные вперед и назад, имеют радиусы закруглений не менее 5 мм;</w:t>
      </w:r>
    </w:p>
    <w:bookmarkEnd w:id="80"/>
    <w:bookmarkStart w:name="z93" w:id="81"/>
    <w:p>
      <w:pPr>
        <w:spacing w:after="0"/>
        <w:ind w:left="0"/>
        <w:jc w:val="both"/>
      </w:pPr>
      <w:r>
        <w:rPr>
          <w:rFonts w:ascii="Times New Roman"/>
          <w:b w:val="false"/>
          <w:i w:val="false"/>
          <w:color w:val="000000"/>
          <w:sz w:val="28"/>
        </w:rPr>
        <w:t>
      радиусы закруглений остальных кромок должны при этом быть не менее 2,5 мм;</w:t>
      </w:r>
    </w:p>
    <w:bookmarkEnd w:id="81"/>
    <w:bookmarkStart w:name="z94" w:id="82"/>
    <w:p>
      <w:pPr>
        <w:spacing w:after="0"/>
        <w:ind w:left="0"/>
        <w:jc w:val="both"/>
      </w:pPr>
      <w:r>
        <w:rPr>
          <w:rFonts w:ascii="Times New Roman"/>
          <w:b w:val="false"/>
          <w:i w:val="false"/>
          <w:color w:val="000000"/>
          <w:sz w:val="28"/>
        </w:rPr>
        <w:t xml:space="preserve">
      наружные зеркала и другие устройства непрямой обзорности; </w:t>
      </w:r>
    </w:p>
    <w:bookmarkEnd w:id="82"/>
    <w:bookmarkStart w:name="z95" w:id="83"/>
    <w:p>
      <w:pPr>
        <w:spacing w:after="0"/>
        <w:ind w:left="0"/>
        <w:jc w:val="both"/>
      </w:pPr>
      <w:r>
        <w:rPr>
          <w:rFonts w:ascii="Times New Roman"/>
          <w:b w:val="false"/>
          <w:i w:val="false"/>
          <w:color w:val="000000"/>
          <w:sz w:val="28"/>
        </w:rPr>
        <w:t xml:space="preserve">
      вспомогательные средства наблюдения; </w:t>
      </w:r>
    </w:p>
    <w:bookmarkEnd w:id="83"/>
    <w:bookmarkStart w:name="z96" w:id="84"/>
    <w:p>
      <w:pPr>
        <w:spacing w:after="0"/>
        <w:ind w:left="0"/>
        <w:jc w:val="both"/>
      </w:pPr>
      <w:r>
        <w:rPr>
          <w:rFonts w:ascii="Times New Roman"/>
          <w:b w:val="false"/>
          <w:i w:val="false"/>
          <w:color w:val="000000"/>
          <w:sz w:val="28"/>
        </w:rPr>
        <w:t>
      убирающиеся подножки;</w:t>
      </w:r>
    </w:p>
    <w:bookmarkEnd w:id="84"/>
    <w:bookmarkStart w:name="z97" w:id="85"/>
    <w:p>
      <w:pPr>
        <w:spacing w:after="0"/>
        <w:ind w:left="0"/>
        <w:jc w:val="both"/>
      </w:pPr>
      <w:r>
        <w:rPr>
          <w:rFonts w:ascii="Times New Roman"/>
          <w:b w:val="false"/>
          <w:i w:val="false"/>
          <w:color w:val="000000"/>
          <w:sz w:val="28"/>
        </w:rPr>
        <w:t>
      устройства освещения и световой сигнализации;</w:t>
      </w:r>
    </w:p>
    <w:bookmarkEnd w:id="85"/>
    <w:bookmarkStart w:name="z98" w:id="86"/>
    <w:p>
      <w:pPr>
        <w:spacing w:after="0"/>
        <w:ind w:left="0"/>
        <w:jc w:val="both"/>
      </w:pPr>
      <w:r>
        <w:rPr>
          <w:rFonts w:ascii="Times New Roman"/>
          <w:b w:val="false"/>
          <w:i w:val="false"/>
          <w:color w:val="000000"/>
          <w:sz w:val="28"/>
        </w:rPr>
        <w:t>
      деформирующаяся часть боковых стенок шин непосредственно над точкой соприкосновения с поверхностью.</w:t>
      </w:r>
    </w:p>
    <w:bookmarkEnd w:id="86"/>
    <w:bookmarkStart w:name="z99" w:id="87"/>
    <w:p>
      <w:pPr>
        <w:spacing w:after="0"/>
        <w:ind w:left="0"/>
        <w:jc w:val="both"/>
      </w:pPr>
      <w:r>
        <w:rPr>
          <w:rFonts w:ascii="Times New Roman"/>
          <w:b w:val="false"/>
          <w:i w:val="false"/>
          <w:color w:val="000000"/>
          <w:sz w:val="28"/>
        </w:rPr>
        <w:t>
      4. При измерении высоты не учитываются следующие устройства, смонтированные на транспортном средстве:</w:t>
      </w:r>
    </w:p>
    <w:bookmarkEnd w:id="87"/>
    <w:bookmarkStart w:name="z100" w:id="88"/>
    <w:p>
      <w:pPr>
        <w:spacing w:after="0"/>
        <w:ind w:left="0"/>
        <w:jc w:val="both"/>
      </w:pPr>
      <w:r>
        <w:rPr>
          <w:rFonts w:ascii="Times New Roman"/>
          <w:b w:val="false"/>
          <w:i w:val="false"/>
          <w:color w:val="000000"/>
          <w:sz w:val="28"/>
        </w:rPr>
        <w:t>
      антенны;</w:t>
      </w:r>
    </w:p>
    <w:bookmarkEnd w:id="88"/>
    <w:bookmarkStart w:name="z101" w:id="89"/>
    <w:p>
      <w:pPr>
        <w:spacing w:after="0"/>
        <w:ind w:left="0"/>
        <w:jc w:val="both"/>
      </w:pPr>
      <w:r>
        <w:rPr>
          <w:rFonts w:ascii="Times New Roman"/>
          <w:b w:val="false"/>
          <w:i w:val="false"/>
          <w:color w:val="000000"/>
          <w:sz w:val="28"/>
        </w:rPr>
        <w:t>
      пантографы или токоприемники в поднятом положении.</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w:t>
            </w:r>
            <w:r>
              <w:br/>
            </w:r>
            <w:r>
              <w:rPr>
                <w:rFonts w:ascii="Times New Roman"/>
                <w:b w:val="false"/>
                <w:i w:val="false"/>
                <w:color w:val="000000"/>
                <w:sz w:val="20"/>
              </w:rPr>
              <w:t xml:space="preserve">Соглашению о допустимых </w:t>
            </w:r>
            <w:r>
              <w:br/>
            </w:r>
            <w:r>
              <w:rPr>
                <w:rFonts w:ascii="Times New Roman"/>
                <w:b w:val="false"/>
                <w:i w:val="false"/>
                <w:color w:val="000000"/>
                <w:sz w:val="20"/>
              </w:rPr>
              <w:t xml:space="preserve">массах, осевых нагрузках и </w:t>
            </w:r>
            <w:r>
              <w:br/>
            </w:r>
            <w:r>
              <w:rPr>
                <w:rFonts w:ascii="Times New Roman"/>
                <w:b w:val="false"/>
                <w:i w:val="false"/>
                <w:color w:val="000000"/>
                <w:sz w:val="20"/>
              </w:rPr>
              <w:t xml:space="preserve">габаритах транспортных средств </w:t>
            </w:r>
            <w:r>
              <w:br/>
            </w:r>
            <w:r>
              <w:rPr>
                <w:rFonts w:ascii="Times New Roman"/>
                <w:b w:val="false"/>
                <w:i w:val="false"/>
                <w:color w:val="000000"/>
                <w:sz w:val="20"/>
              </w:rPr>
              <w:t xml:space="preserve">при движении по </w:t>
            </w:r>
            <w:r>
              <w:br/>
            </w:r>
            <w:r>
              <w:rPr>
                <w:rFonts w:ascii="Times New Roman"/>
                <w:b w:val="false"/>
                <w:i w:val="false"/>
                <w:color w:val="000000"/>
                <w:sz w:val="20"/>
              </w:rPr>
              <w:t xml:space="preserve">автомобильным дорогам </w:t>
            </w:r>
            <w:r>
              <w:br/>
            </w:r>
            <w:r>
              <w:rPr>
                <w:rFonts w:ascii="Times New Roman"/>
                <w:b w:val="false"/>
                <w:i w:val="false"/>
                <w:color w:val="000000"/>
                <w:sz w:val="20"/>
              </w:rPr>
              <w:t>государств - членов Евразийского экономического союза, включенным в евразийские транспортные коридоры</w:t>
            </w:r>
          </w:p>
        </w:tc>
      </w:tr>
    </w:tbl>
    <w:bookmarkStart w:name="z103" w:id="90"/>
    <w:p>
      <w:pPr>
        <w:spacing w:after="0"/>
        <w:ind w:left="0"/>
        <w:jc w:val="left"/>
      </w:pPr>
      <w:r>
        <w:rPr>
          <w:rFonts w:ascii="Times New Roman"/>
          <w:b/>
          <w:i w:val="false"/>
          <w:color w:val="000000"/>
        </w:rPr>
        <w:t xml:space="preserve"> Допустимые массы транспортных средств</w:t>
      </w:r>
    </w:p>
    <w:bookmarkEnd w:id="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 или комбинации транспортных средств, количество и расположение осей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масса транспортного средства (тонн)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Одиночные автомобили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двухосные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трехосные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четырехосные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пятиосные и более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Одиночные автобусы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двухосные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трехосные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четырехосные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Сочлененные автобусы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трехосные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четырехосные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пятиосные и более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Автопоезда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трехосные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четырехосные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пятиосные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шестиосные и более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w:t>
            </w:r>
            <w:r>
              <w:br/>
            </w:r>
            <w:r>
              <w:rPr>
                <w:rFonts w:ascii="Times New Roman"/>
                <w:b w:val="false"/>
                <w:i w:val="false"/>
                <w:color w:val="000000"/>
                <w:sz w:val="20"/>
              </w:rPr>
              <w:t xml:space="preserve">Соглашению о допустимых </w:t>
            </w:r>
            <w:r>
              <w:br/>
            </w:r>
            <w:r>
              <w:rPr>
                <w:rFonts w:ascii="Times New Roman"/>
                <w:b w:val="false"/>
                <w:i w:val="false"/>
                <w:color w:val="000000"/>
                <w:sz w:val="20"/>
              </w:rPr>
              <w:t xml:space="preserve">массах, осевых нагрузках и </w:t>
            </w:r>
            <w:r>
              <w:br/>
            </w:r>
            <w:r>
              <w:rPr>
                <w:rFonts w:ascii="Times New Roman"/>
                <w:b w:val="false"/>
                <w:i w:val="false"/>
                <w:color w:val="000000"/>
                <w:sz w:val="20"/>
              </w:rPr>
              <w:t xml:space="preserve">габаритах транспортных средств </w:t>
            </w:r>
            <w:r>
              <w:br/>
            </w:r>
            <w:r>
              <w:rPr>
                <w:rFonts w:ascii="Times New Roman"/>
                <w:b w:val="false"/>
                <w:i w:val="false"/>
                <w:color w:val="000000"/>
                <w:sz w:val="20"/>
              </w:rPr>
              <w:t xml:space="preserve">при движении по </w:t>
            </w:r>
            <w:r>
              <w:br/>
            </w:r>
            <w:r>
              <w:rPr>
                <w:rFonts w:ascii="Times New Roman"/>
                <w:b w:val="false"/>
                <w:i w:val="false"/>
                <w:color w:val="000000"/>
                <w:sz w:val="20"/>
              </w:rPr>
              <w:t>автомобильным дорогам государств - членов Евразийского экономического союза, включенным в евразийские транспортные коридоры</w:t>
            </w:r>
          </w:p>
        </w:tc>
      </w:tr>
    </w:tbl>
    <w:bookmarkStart w:name="z105" w:id="91"/>
    <w:p>
      <w:pPr>
        <w:spacing w:after="0"/>
        <w:ind w:left="0"/>
        <w:jc w:val="left"/>
      </w:pPr>
      <w:r>
        <w:rPr>
          <w:rFonts w:ascii="Times New Roman"/>
          <w:b/>
          <w:i w:val="false"/>
          <w:color w:val="000000"/>
        </w:rPr>
        <w:t xml:space="preserve"> Допустимые массы, приходящиеся на ось или группу осей </w:t>
      </w:r>
    </w:p>
    <w:bookmarkEnd w:id="9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осей транспортного средства*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сближенными осями (метров)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нагрузка на ось** колесного транспортного средства (тонн)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Одиночная ось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сближенных сдвоенных осей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1,3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 до 1,8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до 2,5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сближенных строенных осей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1,3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 до 1,8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до 2,5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сближенных осей с количеством осей более 3 (не более 2 односкатных или двускатных колеса на оси)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1,3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 до 1,8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до 2,5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сближенных осей с количеством осей 2 и более (по 4 (включительно) и более односкатных или двускатных колеса на оси)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1,3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 до 1,8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осей транспортного средства*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сближенными осями (метров)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нагрузка на ось** колесного транспортного средства(тонн)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до 2,5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06" w:id="92"/>
    <w:p>
      <w:pPr>
        <w:spacing w:after="0"/>
        <w:ind w:left="0"/>
        <w:jc w:val="both"/>
      </w:pPr>
      <w:r>
        <w:rPr>
          <w:rFonts w:ascii="Times New Roman"/>
          <w:b w:val="false"/>
          <w:i w:val="false"/>
          <w:color w:val="000000"/>
          <w:sz w:val="28"/>
        </w:rPr>
        <w:t>
      _________________</w:t>
      </w:r>
    </w:p>
    <w:bookmarkEnd w:id="92"/>
    <w:bookmarkStart w:name="z107" w:id="93"/>
    <w:p>
      <w:pPr>
        <w:spacing w:after="0"/>
        <w:ind w:left="0"/>
        <w:jc w:val="both"/>
      </w:pPr>
      <w:r>
        <w:rPr>
          <w:rFonts w:ascii="Times New Roman"/>
          <w:b w:val="false"/>
          <w:i w:val="false"/>
          <w:color w:val="000000"/>
          <w:sz w:val="28"/>
        </w:rPr>
        <w:t>
      * Одиночная ось - ось транспортного средства, расположенная на расстоянии более 2,5 метра от его другой ближайшей оси.</w:t>
      </w:r>
    </w:p>
    <w:bookmarkEnd w:id="93"/>
    <w:bookmarkStart w:name="z108" w:id="94"/>
    <w:p>
      <w:pPr>
        <w:spacing w:after="0"/>
        <w:ind w:left="0"/>
        <w:jc w:val="both"/>
      </w:pPr>
      <w:r>
        <w:rPr>
          <w:rFonts w:ascii="Times New Roman"/>
          <w:b w:val="false"/>
          <w:i w:val="false"/>
          <w:color w:val="000000"/>
          <w:sz w:val="28"/>
        </w:rPr>
        <w:t>
      Группа сближенных осей - сгруппированные оси, конструктивно объединенные и (или) не объединенные в тележку, с расстоянием между ближайшими осями до 2,5 метра (включительно).</w:t>
      </w:r>
    </w:p>
    <w:bookmarkEnd w:id="94"/>
    <w:bookmarkStart w:name="z109" w:id="95"/>
    <w:p>
      <w:pPr>
        <w:spacing w:after="0"/>
        <w:ind w:left="0"/>
        <w:jc w:val="both"/>
      </w:pPr>
      <w:r>
        <w:rPr>
          <w:rFonts w:ascii="Times New Roman"/>
          <w:b w:val="false"/>
          <w:i w:val="false"/>
          <w:color w:val="000000"/>
          <w:sz w:val="28"/>
        </w:rPr>
        <w:t>
      **Для групп сближенных сдвоенных и строенных осей - допустимая масса, приходящаяся на группу осей.</w:t>
      </w:r>
    </w:p>
    <w:bookmarkEnd w:id="95"/>
    <w:bookmarkStart w:name="z110" w:id="96"/>
    <w:p>
      <w:pPr>
        <w:spacing w:after="0"/>
        <w:ind w:left="0"/>
        <w:jc w:val="both"/>
      </w:pPr>
      <w:r>
        <w:rPr>
          <w:rFonts w:ascii="Times New Roman"/>
          <w:b w:val="false"/>
          <w:i w:val="false"/>
          <w:color w:val="000000"/>
          <w:sz w:val="28"/>
        </w:rPr>
        <w:t>
      Примечания: 1. Без скобок приведены значения для осей с односкатными колесами (колесо транспортного средства, имеющее одну шину), в скобках - для осей с двускатными колесами (колесо транспортного средства, имеющее две шины).</w:t>
      </w:r>
    </w:p>
    <w:bookmarkEnd w:id="96"/>
    <w:bookmarkStart w:name="z111" w:id="97"/>
    <w:p>
      <w:pPr>
        <w:spacing w:after="0"/>
        <w:ind w:left="0"/>
        <w:jc w:val="both"/>
      </w:pPr>
      <w:r>
        <w:rPr>
          <w:rFonts w:ascii="Times New Roman"/>
          <w:b w:val="false"/>
          <w:i w:val="false"/>
          <w:color w:val="000000"/>
          <w:sz w:val="28"/>
        </w:rPr>
        <w:t>
      2. Группы сближенных осей, имеющие в своем составе оси с односкатными и двускатными колесами, следует рассматривать как группы сближенных осей, имеющие в своем составе оси с односкатными колесами.</w:t>
      </w:r>
    </w:p>
    <w:bookmarkEnd w:id="97"/>
    <w:bookmarkStart w:name="z112" w:id="98"/>
    <w:p>
      <w:pPr>
        <w:spacing w:after="0"/>
        <w:ind w:left="0"/>
        <w:jc w:val="both"/>
      </w:pPr>
      <w:r>
        <w:rPr>
          <w:rFonts w:ascii="Times New Roman"/>
          <w:b w:val="false"/>
          <w:i w:val="false"/>
          <w:color w:val="000000"/>
          <w:sz w:val="28"/>
        </w:rPr>
        <w:t>
      3. Для групп сближенных сдвоенных и строенных осей допустимая нагрузка на ось определяется путем деления допустимой нагрузки на группу осей на соответствующее количество осей в группе, за исключением случаев, указанных в пункте 4 настоящих примечаний.</w:t>
      </w:r>
    </w:p>
    <w:bookmarkEnd w:id="98"/>
    <w:bookmarkStart w:name="z113" w:id="99"/>
    <w:p>
      <w:pPr>
        <w:spacing w:after="0"/>
        <w:ind w:left="0"/>
        <w:jc w:val="both"/>
      </w:pPr>
      <w:r>
        <w:rPr>
          <w:rFonts w:ascii="Times New Roman"/>
          <w:b w:val="false"/>
          <w:i w:val="false"/>
          <w:color w:val="000000"/>
          <w:sz w:val="28"/>
        </w:rPr>
        <w:t>
      4. Допускается неравномерное распределение нагрузки по осям для групп сближенных сдвоенных и строенных осей, если нагрузка на группу осей не превышает допустимую нагрузку на соответствующую группу осей и нагрузка на каждую ось в группе осей не превышает допустимую нагрузку на соответствующую одиночную ось с односкатными или двускатными колесами.</w:t>
      </w:r>
    </w:p>
    <w:bookmarkEnd w:id="99"/>
    <w:bookmarkStart w:name="z114" w:id="100"/>
    <w:p>
      <w:pPr>
        <w:spacing w:after="0"/>
        <w:ind w:left="0"/>
        <w:jc w:val="both"/>
      </w:pPr>
      <w:r>
        <w:rPr>
          <w:rFonts w:ascii="Times New Roman"/>
          <w:b w:val="false"/>
          <w:i w:val="false"/>
          <w:color w:val="000000"/>
          <w:sz w:val="28"/>
        </w:rPr>
        <w:t>
      5. При наличии в группах осей различных значений межосевых расстояний каждому расстоянию между осями присваивается значение, полученное методом арифметического усреднения (суммы всех межосевых расстояний в группе делятся на количество межосевых расстояний в группе).</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