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f029" w14:textId="e1af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управления государственными финансами Республики Казахстан до 2030 года</w:t>
      </w:r>
    </w:p>
    <w:p>
      <w:pPr>
        <w:spacing w:after="0"/>
        <w:ind w:left="0"/>
        <w:jc w:val="both"/>
      </w:pPr>
      <w:r>
        <w:rPr>
          <w:rFonts w:ascii="Times New Roman"/>
          <w:b w:val="false"/>
          <w:i w:val="false"/>
          <w:color w:val="000000"/>
          <w:sz w:val="28"/>
        </w:rPr>
        <w:t>Указ Президента Республики Казахстан от 10 сентября 2022 года № 1005.</w:t>
      </w:r>
    </w:p>
    <w:p>
      <w:pPr>
        <w:spacing w:after="0"/>
        <w:ind w:left="0"/>
        <w:jc w:val="both"/>
      </w:pPr>
      <w:bookmarkStart w:name="z3" w:id="0"/>
      <w:r>
        <w:rPr>
          <w:rFonts w:ascii="Times New Roman"/>
          <w:b w:val="false"/>
          <w:i w:val="false"/>
          <w:color w:val="000000"/>
          <w:sz w:val="28"/>
        </w:rPr>
        <w:t xml:space="preserve">
      В соответствии с пунктом 5 Общенационального </w:t>
      </w:r>
      <w:r>
        <w:rPr>
          <w:rFonts w:ascii="Times New Roman"/>
          <w:b w:val="false"/>
          <w:i w:val="false"/>
          <w:color w:val="000000"/>
          <w:sz w:val="28"/>
        </w:rPr>
        <w:t>плана мероприятий</w:t>
      </w:r>
      <w:r>
        <w:rPr>
          <w:rFonts w:ascii="Times New Roman"/>
          <w:b w:val="false"/>
          <w:i w:val="false"/>
          <w:color w:val="000000"/>
          <w:sz w:val="28"/>
        </w:rPr>
        <w:t xml:space="preserve">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управления государственными финансами Республики Казахстан до 2030 года.</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2"/>
    <w:bookmarkStart w:name="z6" w:id="3"/>
    <w:p>
      <w:pPr>
        <w:spacing w:after="0"/>
        <w:ind w:left="0"/>
        <w:jc w:val="both"/>
      </w:pPr>
      <w:r>
        <w:rPr>
          <w:rFonts w:ascii="Times New Roman"/>
          <w:b w:val="false"/>
          <w:i w:val="false"/>
          <w:color w:val="000000"/>
          <w:sz w:val="28"/>
        </w:rPr>
        <w:t>
      3. Правительству Республики Казахстан, государственным органам, непосредственно подотчетным и подчиненным Президенту Республики Казахстан, и иным организациям принять меры, вытекающие из настоящего Указа.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4"/>
    <w:bookmarkStart w:name="z8" w:id="5"/>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сентября 2022 года № 1005</w:t>
            </w:r>
          </w:p>
        </w:tc>
      </w:tr>
    </w:tbl>
    <w:bookmarkStart w:name="z11" w:id="6"/>
    <w:p>
      <w:pPr>
        <w:spacing w:after="0"/>
        <w:ind w:left="0"/>
        <w:jc w:val="left"/>
      </w:pPr>
      <w:r>
        <w:rPr>
          <w:rFonts w:ascii="Times New Roman"/>
          <w:b/>
          <w:i w:val="false"/>
          <w:color w:val="000000"/>
        </w:rPr>
        <w:t xml:space="preserve"> КОНЦЕПЦИЯ</w:t>
      </w:r>
      <w:r>
        <w:br/>
      </w:r>
      <w:r>
        <w:rPr>
          <w:rFonts w:ascii="Times New Roman"/>
          <w:b/>
          <w:i w:val="false"/>
          <w:color w:val="000000"/>
        </w:rPr>
        <w:t>управления государственными финансами Республики Казахстан до 2030 года</w:t>
      </w:r>
    </w:p>
    <w:bookmarkEnd w:id="6"/>
    <w:p>
      <w:pPr>
        <w:spacing w:after="0"/>
        <w:ind w:left="0"/>
        <w:jc w:val="both"/>
      </w:pPr>
      <w:r>
        <w:rPr>
          <w:rFonts w:ascii="Times New Roman"/>
          <w:b w:val="false"/>
          <w:i w:val="false"/>
          <w:color w:val="ff0000"/>
          <w:sz w:val="28"/>
        </w:rPr>
        <w:t xml:space="preserve">
      Сноска. Концепция с изменениями, внесенными Указом Президента РК от 17.12.2022 </w:t>
      </w:r>
      <w:r>
        <w:rPr>
          <w:rFonts w:ascii="Times New Roman"/>
          <w:b w:val="false"/>
          <w:i w:val="false"/>
          <w:color w:val="ff0000"/>
          <w:sz w:val="28"/>
        </w:rPr>
        <w:t>№ 57</w:t>
      </w:r>
      <w:r>
        <w:rPr>
          <w:rFonts w:ascii="Times New Roman"/>
          <w:b w:val="false"/>
          <w:i w:val="false"/>
          <w:color w:val="ff0000"/>
          <w:sz w:val="28"/>
        </w:rPr>
        <w:t xml:space="preserve">; от 22.09.2023 </w:t>
      </w:r>
      <w:r>
        <w:rPr>
          <w:rFonts w:ascii="Times New Roman"/>
          <w:b w:val="false"/>
          <w:i w:val="false"/>
          <w:color w:val="ff0000"/>
          <w:sz w:val="28"/>
        </w:rPr>
        <w:t>№ 357</w:t>
      </w:r>
      <w:r>
        <w:rPr>
          <w:rFonts w:ascii="Times New Roman"/>
          <w:b w:val="false"/>
          <w:i w:val="false"/>
          <w:color w:val="ff0000"/>
          <w:sz w:val="28"/>
        </w:rPr>
        <w:t>.</w:t>
      </w:r>
    </w:p>
    <w:bookmarkStart w:name="z12" w:id="7"/>
    <w:p>
      <w:pPr>
        <w:spacing w:after="0"/>
        <w:ind w:left="0"/>
        <w:jc w:val="both"/>
      </w:pPr>
      <w:r>
        <w:rPr>
          <w:rFonts w:ascii="Times New Roman"/>
          <w:b w:val="false"/>
          <w:i w:val="false"/>
          <w:color w:val="000000"/>
          <w:sz w:val="28"/>
        </w:rPr>
        <w:t xml:space="preserve">
      Нур-Султан, 2022 год  </w:t>
      </w:r>
    </w:p>
    <w:bookmarkEnd w:id="7"/>
    <w:bookmarkStart w:name="z13" w:id="8"/>
    <w:p>
      <w:pPr>
        <w:spacing w:after="0"/>
        <w:ind w:left="0"/>
        <w:jc w:val="left"/>
      </w:pPr>
      <w:r>
        <w:rPr>
          <w:rFonts w:ascii="Times New Roman"/>
          <w:b/>
          <w:i w:val="false"/>
          <w:color w:val="000000"/>
        </w:rPr>
        <w:t xml:space="preserve"> Содержание</w:t>
      </w:r>
    </w:p>
    <w:bookmarkEnd w:id="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 (основные параметры)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bookmarkStart w:name="z16" w:id="9"/>
    <w:p>
      <w:pPr>
        <w:spacing w:after="0"/>
        <w:ind w:left="0"/>
        <w:jc w:val="both"/>
      </w:pPr>
      <w:r>
        <w:rPr>
          <w:rFonts w:ascii="Times New Roman"/>
          <w:b w:val="false"/>
          <w:i w:val="false"/>
          <w:color w:val="000000"/>
          <w:sz w:val="28"/>
        </w:rPr>
        <w:t>
      2.1. Оценка действующего государственного регулирования в области государственных финансов</w:t>
      </w:r>
    </w:p>
    <w:bookmarkEnd w:id="9"/>
    <w:bookmarkStart w:name="z17" w:id="10"/>
    <w:p>
      <w:pPr>
        <w:spacing w:after="0"/>
        <w:ind w:left="0"/>
        <w:jc w:val="both"/>
      </w:pPr>
      <w:r>
        <w:rPr>
          <w:rFonts w:ascii="Times New Roman"/>
          <w:b w:val="false"/>
          <w:i w:val="false"/>
          <w:color w:val="000000"/>
          <w:sz w:val="28"/>
        </w:rPr>
        <w:t>
      2.2. Ключевые проблемы и обоснование необходимости разработки Концепции управления государственными финансами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управления государственными финансами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 к формированию политики управления государственными финансами</w:t>
      </w:r>
    </w:p>
    <w:bookmarkStart w:name="z21" w:id="11"/>
    <w:p>
      <w:pPr>
        <w:spacing w:after="0"/>
        <w:ind w:left="0"/>
        <w:jc w:val="both"/>
      </w:pPr>
      <w:r>
        <w:rPr>
          <w:rFonts w:ascii="Times New Roman"/>
          <w:b w:val="false"/>
          <w:i w:val="false"/>
          <w:color w:val="000000"/>
          <w:sz w:val="28"/>
        </w:rPr>
        <w:t>
      5.1. Основные принципы политики управления государственными финансами</w:t>
      </w:r>
    </w:p>
    <w:bookmarkEnd w:id="11"/>
    <w:bookmarkStart w:name="z22" w:id="12"/>
    <w:p>
      <w:pPr>
        <w:spacing w:after="0"/>
        <w:ind w:left="0"/>
        <w:jc w:val="both"/>
      </w:pPr>
      <w:r>
        <w:rPr>
          <w:rFonts w:ascii="Times New Roman"/>
          <w:b w:val="false"/>
          <w:i w:val="false"/>
          <w:color w:val="000000"/>
          <w:sz w:val="28"/>
        </w:rPr>
        <w:t>
      5.2. Основные подходы к политике управления государственными финансами</w:t>
      </w:r>
    </w:p>
    <w:bookmarkEnd w:id="12"/>
    <w:bookmarkStart w:name="z23" w:id="13"/>
    <w:p>
      <w:pPr>
        <w:spacing w:after="0"/>
        <w:ind w:left="0"/>
        <w:jc w:val="both"/>
      </w:pPr>
      <w:r>
        <w:rPr>
          <w:rFonts w:ascii="Times New Roman"/>
          <w:b w:val="false"/>
          <w:i w:val="false"/>
          <w:color w:val="000000"/>
          <w:sz w:val="28"/>
        </w:rPr>
        <w:t>
      5.3. Политика формирования и использования средств Национального фонда Республики Казахстан</w:t>
      </w:r>
    </w:p>
    <w:bookmarkEnd w:id="13"/>
    <w:bookmarkStart w:name="z24" w:id="14"/>
    <w:p>
      <w:pPr>
        <w:spacing w:after="0"/>
        <w:ind w:left="0"/>
        <w:jc w:val="both"/>
      </w:pPr>
      <w:r>
        <w:rPr>
          <w:rFonts w:ascii="Times New Roman"/>
          <w:b w:val="false"/>
          <w:i w:val="false"/>
          <w:color w:val="000000"/>
          <w:sz w:val="28"/>
        </w:rPr>
        <w:t>
      5.4. Налогово-бюджетная политика</w:t>
      </w:r>
    </w:p>
    <w:bookmarkEnd w:id="14"/>
    <w:bookmarkStart w:name="z25" w:id="15"/>
    <w:p>
      <w:pPr>
        <w:spacing w:after="0"/>
        <w:ind w:left="0"/>
        <w:jc w:val="both"/>
      </w:pPr>
      <w:r>
        <w:rPr>
          <w:rFonts w:ascii="Times New Roman"/>
          <w:b w:val="false"/>
          <w:i w:val="false"/>
          <w:color w:val="000000"/>
          <w:sz w:val="28"/>
        </w:rPr>
        <w:t>
      5.4.1. Определение набора бюджетных правил</w:t>
      </w:r>
    </w:p>
    <w:bookmarkEnd w:id="15"/>
    <w:bookmarkStart w:name="z26" w:id="16"/>
    <w:p>
      <w:pPr>
        <w:spacing w:after="0"/>
        <w:ind w:left="0"/>
        <w:jc w:val="both"/>
      </w:pPr>
      <w:r>
        <w:rPr>
          <w:rFonts w:ascii="Times New Roman"/>
          <w:b w:val="false"/>
          <w:i w:val="false"/>
          <w:color w:val="000000"/>
          <w:sz w:val="28"/>
        </w:rPr>
        <w:t>
      5.4.2. Укрепление доходной части бюджета (налоговая политика)</w:t>
      </w:r>
    </w:p>
    <w:bookmarkEnd w:id="16"/>
    <w:bookmarkStart w:name="z27" w:id="17"/>
    <w:p>
      <w:pPr>
        <w:spacing w:after="0"/>
        <w:ind w:left="0"/>
        <w:jc w:val="both"/>
      </w:pPr>
      <w:r>
        <w:rPr>
          <w:rFonts w:ascii="Times New Roman"/>
          <w:b w:val="false"/>
          <w:i w:val="false"/>
          <w:color w:val="000000"/>
          <w:sz w:val="28"/>
        </w:rPr>
        <w:t>
      5.4.3. Повышение эффективности и экономической отдачи бюджетных расходов</w:t>
      </w:r>
    </w:p>
    <w:bookmarkEnd w:id="17"/>
    <w:bookmarkStart w:name="z28" w:id="18"/>
    <w:p>
      <w:pPr>
        <w:spacing w:after="0"/>
        <w:ind w:left="0"/>
        <w:jc w:val="both"/>
      </w:pPr>
      <w:r>
        <w:rPr>
          <w:rFonts w:ascii="Times New Roman"/>
          <w:b w:val="false"/>
          <w:i w:val="false"/>
          <w:color w:val="000000"/>
          <w:sz w:val="28"/>
        </w:rPr>
        <w:t>
      5.5. Политика управления государственным долгом</w:t>
      </w:r>
    </w:p>
    <w:bookmarkEnd w:id="18"/>
    <w:bookmarkStart w:name="z29" w:id="19"/>
    <w:p>
      <w:pPr>
        <w:spacing w:after="0"/>
        <w:ind w:left="0"/>
        <w:jc w:val="both"/>
      </w:pPr>
      <w:r>
        <w:rPr>
          <w:rFonts w:ascii="Times New Roman"/>
          <w:b w:val="false"/>
          <w:i w:val="false"/>
          <w:color w:val="000000"/>
          <w:sz w:val="28"/>
        </w:rPr>
        <w:t>
      5.6. Повышение прозрачности и открытости процесса по управлению государственными финансами</w:t>
      </w:r>
    </w:p>
    <w:bookmarkEnd w:id="19"/>
    <w:bookmarkStart w:name="z30" w:id="20"/>
    <w:p>
      <w:pPr>
        <w:spacing w:after="0"/>
        <w:ind w:left="0"/>
        <w:jc w:val="both"/>
      </w:pPr>
      <w:r>
        <w:rPr>
          <w:rFonts w:ascii="Times New Roman"/>
          <w:b w:val="false"/>
          <w:i w:val="false"/>
          <w:color w:val="000000"/>
          <w:sz w:val="28"/>
        </w:rPr>
        <w:t>
      5.7. Автоматизация и цифровизация процесса управления государственными финансами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xml:space="preserve">. План действий по реализации Концепции управления государственными финансами Республики Казахстан до 2030 года.      </w:t>
      </w:r>
    </w:p>
    <w:bookmarkStart w:name="z33" w:id="21"/>
    <w:p>
      <w:pPr>
        <w:spacing w:after="0"/>
        <w:ind w:left="0"/>
        <w:jc w:val="left"/>
      </w:pPr>
      <w:r>
        <w:rPr>
          <w:rFonts w:ascii="Times New Roman"/>
          <w:b/>
          <w:i w:val="false"/>
          <w:color w:val="000000"/>
        </w:rPr>
        <w:t xml:space="preserve"> Раздел 1.</w:t>
      </w:r>
      <w:r>
        <w:br/>
      </w:r>
      <w:r>
        <w:rPr>
          <w:rFonts w:ascii="Times New Roman"/>
          <w:b/>
          <w:i w:val="false"/>
          <w:color w:val="000000"/>
        </w:rPr>
        <w:t>Паспорт (основные параметры)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управления государственными финансами Республики Казахстан до 2030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Стратегия развития Казахстана до 2050 года,</w:t>
            </w:r>
          </w:p>
          <w:bookmarkEnd w:id="22"/>
          <w:p>
            <w:pPr>
              <w:spacing w:after="20"/>
              <w:ind w:left="20"/>
              <w:jc w:val="both"/>
            </w:pPr>
            <w:r>
              <w:rPr>
                <w:rFonts w:ascii="Times New Roman"/>
                <w:b w:val="false"/>
                <w:i w:val="false"/>
                <w:color w:val="000000"/>
                <w:sz w:val="20"/>
              </w:rPr>
              <w:t>Национальный план развития Республики Казахстан до 2025 года,</w:t>
            </w:r>
          </w:p>
          <w:p>
            <w:pPr>
              <w:spacing w:after="20"/>
              <w:ind w:left="20"/>
              <w:jc w:val="both"/>
            </w:pPr>
            <w:r>
              <w:rPr>
                <w:rFonts w:ascii="Times New Roman"/>
                <w:b w:val="false"/>
                <w:i w:val="false"/>
                <w:color w:val="000000"/>
                <w:sz w:val="20"/>
              </w:rPr>
              <w:t>Послание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Послание Главы государства народу Казахстана от 1 сентября 2021 года "Единство народа и системные реформы - прочная основа процветания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организации,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годы</w:t>
            </w:r>
          </w:p>
        </w:tc>
      </w:tr>
    </w:tbl>
    <w:bookmarkStart w:name="z37" w:id="23"/>
    <w:p>
      <w:pPr>
        <w:spacing w:after="0"/>
        <w:ind w:left="0"/>
        <w:jc w:val="left"/>
      </w:pPr>
      <w:r>
        <w:rPr>
          <w:rFonts w:ascii="Times New Roman"/>
          <w:b/>
          <w:i w:val="false"/>
          <w:color w:val="000000"/>
        </w:rPr>
        <w:t xml:space="preserve"> Раздел 2.</w:t>
      </w:r>
      <w:r>
        <w:br/>
      </w:r>
      <w:r>
        <w:rPr>
          <w:rFonts w:ascii="Times New Roman"/>
          <w:b/>
          <w:i w:val="false"/>
          <w:color w:val="000000"/>
        </w:rPr>
        <w:t>Анализ текущей ситуации</w:t>
      </w:r>
    </w:p>
    <w:bookmarkEnd w:id="23"/>
    <w:bookmarkStart w:name="z38" w:id="24"/>
    <w:p>
      <w:pPr>
        <w:spacing w:after="0"/>
        <w:ind w:left="0"/>
        <w:jc w:val="left"/>
      </w:pPr>
      <w:r>
        <w:rPr>
          <w:rFonts w:ascii="Times New Roman"/>
          <w:b/>
          <w:i w:val="false"/>
          <w:color w:val="000000"/>
        </w:rPr>
        <w:t xml:space="preserve"> 2.1. Оценка действующего государственного регулирования в бюджетной сфере</w:t>
      </w:r>
    </w:p>
    <w:bookmarkEnd w:id="24"/>
    <w:bookmarkStart w:name="z39" w:id="25"/>
    <w:p>
      <w:pPr>
        <w:spacing w:after="0"/>
        <w:ind w:left="0"/>
        <w:jc w:val="both"/>
      </w:pPr>
      <w:r>
        <w:rPr>
          <w:rFonts w:ascii="Times New Roman"/>
          <w:b w:val="false"/>
          <w:i w:val="false"/>
          <w:color w:val="000000"/>
          <w:sz w:val="28"/>
        </w:rPr>
        <w:t>
      С момента обретения независимости Казахстан прошел большой путь становления и совершенствования системы бюджетного регулирования.</w:t>
      </w:r>
    </w:p>
    <w:bookmarkEnd w:id="25"/>
    <w:bookmarkStart w:name="z40" w:id="26"/>
    <w:p>
      <w:pPr>
        <w:spacing w:after="0"/>
        <w:ind w:left="0"/>
        <w:jc w:val="both"/>
      </w:pPr>
      <w:r>
        <w:rPr>
          <w:rFonts w:ascii="Times New Roman"/>
          <w:b w:val="false"/>
          <w:i w:val="false"/>
          <w:color w:val="000000"/>
          <w:sz w:val="28"/>
        </w:rPr>
        <w:t>
      Были проведены ряд значимых, взаимосвязанных и хорошо продуманных реформ в бюджетной сфере.</w:t>
      </w:r>
    </w:p>
    <w:bookmarkEnd w:id="26"/>
    <w:bookmarkStart w:name="z41" w:id="27"/>
    <w:p>
      <w:pPr>
        <w:spacing w:after="0"/>
        <w:ind w:left="0"/>
        <w:jc w:val="both"/>
      </w:pPr>
      <w:r>
        <w:rPr>
          <w:rFonts w:ascii="Times New Roman"/>
          <w:b w:val="false"/>
          <w:i w:val="false"/>
          <w:color w:val="000000"/>
          <w:sz w:val="28"/>
        </w:rPr>
        <w:t xml:space="preserve">
      </w:t>
      </w:r>
      <w:r>
        <w:rPr>
          <w:rFonts w:ascii="Times New Roman"/>
          <w:b/>
          <w:i w:val="false"/>
          <w:color w:val="000000"/>
          <w:sz w:val="28"/>
        </w:rPr>
        <w:t>Становление бюджетной системы и Национального фонда</w:t>
      </w:r>
    </w:p>
    <w:bookmarkEnd w:id="27"/>
    <w:bookmarkStart w:name="z42" w:id="28"/>
    <w:p>
      <w:pPr>
        <w:spacing w:after="0"/>
        <w:ind w:left="0"/>
        <w:jc w:val="both"/>
      </w:pPr>
      <w:r>
        <w:rPr>
          <w:rFonts w:ascii="Times New Roman"/>
          <w:b w:val="false"/>
          <w:i w:val="false"/>
          <w:color w:val="000000"/>
          <w:sz w:val="28"/>
        </w:rPr>
        <w:t>
      Важной реформой бюджетной системы Казахстана стало создание в 2000 году Национального фонда Республики Казахстан (далее - НФРК) с целью накопления финансовых ресурсов для будущих поколений посредством сбережения нефтяных доходов, а также снижения зависимости республиканского бюджета от ситуации на мировых сырьевых рынках. НФРК стал важным инструментом поддержания макроэкономической стабильности в стране.</w:t>
      </w:r>
    </w:p>
    <w:bookmarkEnd w:id="28"/>
    <w:bookmarkStart w:name="z43" w:id="29"/>
    <w:p>
      <w:pPr>
        <w:spacing w:after="0"/>
        <w:ind w:left="0"/>
        <w:jc w:val="both"/>
      </w:pPr>
      <w:r>
        <w:rPr>
          <w:rFonts w:ascii="Times New Roman"/>
          <w:b w:val="false"/>
          <w:i w:val="false"/>
          <w:color w:val="000000"/>
          <w:sz w:val="28"/>
        </w:rPr>
        <w:t>
      Создание НФРК позволило в период "пиковых" уровней цен на сырьевых рынках нивелировать внешние шоки кризисов 2000-х годов посредством выделения средств на реализацию масштабных антикризисных программ.</w:t>
      </w:r>
    </w:p>
    <w:bookmarkEnd w:id="29"/>
    <w:bookmarkStart w:name="z44" w:id="30"/>
    <w:p>
      <w:pPr>
        <w:spacing w:after="0"/>
        <w:ind w:left="0"/>
        <w:jc w:val="both"/>
      </w:pPr>
      <w:r>
        <w:rPr>
          <w:rFonts w:ascii="Times New Roman"/>
          <w:b w:val="false"/>
          <w:i w:val="false"/>
          <w:color w:val="000000"/>
          <w:sz w:val="28"/>
        </w:rPr>
        <w:t>
      Целями направления основного объема доходов от нефти в НФРК в сочетании с фиксированным трансфертом в бюджет являются ограничение влияния волатильности нефтяных доходов на бюджет и повышение бюджетной дисциплины.</w:t>
      </w:r>
    </w:p>
    <w:bookmarkEnd w:id="30"/>
    <w:bookmarkStart w:name="z45" w:id="31"/>
    <w:p>
      <w:pPr>
        <w:spacing w:after="0"/>
        <w:ind w:left="0"/>
        <w:jc w:val="both"/>
      </w:pPr>
      <w:r>
        <w:rPr>
          <w:rFonts w:ascii="Times New Roman"/>
          <w:b w:val="false"/>
          <w:i w:val="false"/>
          <w:color w:val="000000"/>
          <w:sz w:val="28"/>
        </w:rPr>
        <w:t>
      Бюджетный процесс на всех уровнях государственного управления регулируется Бюджетным кодексом Республики Казахстан (далее - Бюджетный кодекс), принятым в 2008 году.</w:t>
      </w:r>
    </w:p>
    <w:bookmarkEnd w:id="31"/>
    <w:bookmarkStart w:name="z46" w:id="32"/>
    <w:p>
      <w:pPr>
        <w:spacing w:after="0"/>
        <w:ind w:left="0"/>
        <w:jc w:val="both"/>
      </w:pPr>
      <w:r>
        <w:rPr>
          <w:rFonts w:ascii="Times New Roman"/>
          <w:b w:val="false"/>
          <w:i w:val="false"/>
          <w:color w:val="000000"/>
          <w:sz w:val="28"/>
        </w:rPr>
        <w:t>
      Направления бюджетной политики, включая формирование и использование средств НФРК, определены в Концепции новой бюджетной политики Республики Казахстан, утвержденной Указом Президента Республики Казахстан от 26 июня 2013 года № 590 (далее - Концепция бюджетной политики), и Концепции формирования и использования средств Национального фонда Республики Казахстан, утвержденной Указом Президента Республики Казахстан от 8 декабря 2016 года № 385 (далее - Концепция НФРК).</w:t>
      </w:r>
    </w:p>
    <w:bookmarkEnd w:id="32"/>
    <w:bookmarkStart w:name="z47" w:id="33"/>
    <w:p>
      <w:pPr>
        <w:spacing w:after="0"/>
        <w:ind w:left="0"/>
        <w:jc w:val="both"/>
      </w:pPr>
      <w:r>
        <w:rPr>
          <w:rFonts w:ascii="Times New Roman"/>
          <w:b w:val="false"/>
          <w:i w:val="false"/>
          <w:color w:val="000000"/>
          <w:sz w:val="28"/>
        </w:rPr>
        <w:t>
      Концепция бюджетной политики определяет видение, основные подходы к формированию фискальной политики до 2020 года и меры, направленные на обеспечение комплексных реформ в сфере государственных финансов. В Концепции бюджетной политики установлены также правила в отношении дефицита государственного бюджета и долга.</w:t>
      </w:r>
    </w:p>
    <w:bookmarkEnd w:id="33"/>
    <w:bookmarkStart w:name="z48" w:id="34"/>
    <w:p>
      <w:pPr>
        <w:spacing w:after="0"/>
        <w:ind w:left="0"/>
        <w:jc w:val="both"/>
      </w:pPr>
      <w:r>
        <w:rPr>
          <w:rFonts w:ascii="Times New Roman"/>
          <w:b w:val="false"/>
          <w:i w:val="false"/>
          <w:color w:val="000000"/>
          <w:sz w:val="28"/>
        </w:rPr>
        <w:t>
      Данная фискальная основа усовершенствована в Концепции НФРК, в которой были установлены дополнительные правила в отношении ненефтяного дефицита бюджета, правительственного долга и минимального объема активов НФРК, а также изменена система трансфертов из НФРК в республиканский бюджет.</w:t>
      </w:r>
    </w:p>
    <w:bookmarkEnd w:id="34"/>
    <w:bookmarkStart w:name="z49" w:id="35"/>
    <w:p>
      <w:pPr>
        <w:spacing w:after="0"/>
        <w:ind w:left="0"/>
        <w:jc w:val="both"/>
      </w:pPr>
      <w:r>
        <w:rPr>
          <w:rFonts w:ascii="Times New Roman"/>
          <w:b w:val="false"/>
          <w:i w:val="false"/>
          <w:color w:val="000000"/>
          <w:sz w:val="28"/>
        </w:rPr>
        <w:t>
      С 2017 года с учетом внесенных в Бюджетный кодекс дополнений уровень ненефтяного дефицита утверждается в законе о трехлетием республиканском бюджете.</w:t>
      </w:r>
    </w:p>
    <w:bookmarkEnd w:id="35"/>
    <w:bookmarkStart w:name="z50" w:id="36"/>
    <w:p>
      <w:pPr>
        <w:spacing w:after="0"/>
        <w:ind w:left="0"/>
        <w:jc w:val="both"/>
      </w:pPr>
      <w:r>
        <w:rPr>
          <w:rFonts w:ascii="Times New Roman"/>
          <w:b w:val="false"/>
          <w:i w:val="false"/>
          <w:color w:val="000000"/>
          <w:sz w:val="28"/>
        </w:rPr>
        <w:t>
      На сегодняшний день бюджетная система Казахстана базируется на бюджетных правилах.</w:t>
      </w:r>
    </w:p>
    <w:bookmarkEnd w:id="36"/>
    <w:bookmarkStart w:name="z51" w:id="37"/>
    <w:p>
      <w:pPr>
        <w:spacing w:after="0"/>
        <w:ind w:left="0"/>
        <w:jc w:val="both"/>
      </w:pPr>
      <w:r>
        <w:rPr>
          <w:rFonts w:ascii="Times New Roman"/>
          <w:b w:val="false"/>
          <w:i w:val="false"/>
          <w:color w:val="000000"/>
          <w:sz w:val="28"/>
        </w:rPr>
        <w:t>
      Бюджетные правила, ограничивающие дефицит и ненефтяной дефицит бюджета, а также устанавливающие параметры государственного долга и нижний предел финансовых активов НФРК, необходимы для поддержания устойчивости государственных финансов.</w:t>
      </w:r>
    </w:p>
    <w:bookmarkEnd w:id="37"/>
    <w:bookmarkStart w:name="z52" w:id="38"/>
    <w:p>
      <w:pPr>
        <w:spacing w:after="0"/>
        <w:ind w:left="0"/>
        <w:jc w:val="both"/>
      </w:pPr>
      <w:r>
        <w:rPr>
          <w:rFonts w:ascii="Times New Roman"/>
          <w:b w:val="false"/>
          <w:i w:val="false"/>
          <w:color w:val="000000"/>
          <w:sz w:val="28"/>
        </w:rPr>
        <w:t>
      В 2018-2020 годы в Концепцию НФРК были внесены изменения в отношении правил по гарантированному трансферту из НФРК в республиканский бюджет, ненефтяному дефициту и стабилизации долга.</w:t>
      </w:r>
    </w:p>
    <w:bookmarkEnd w:id="38"/>
    <w:bookmarkStart w:name="z53" w:id="39"/>
    <w:p>
      <w:pPr>
        <w:spacing w:after="0"/>
        <w:ind w:left="0"/>
        <w:jc w:val="both"/>
      </w:pPr>
      <w:r>
        <w:rPr>
          <w:rFonts w:ascii="Times New Roman"/>
          <w:b w:val="false"/>
          <w:i w:val="false"/>
          <w:color w:val="000000"/>
          <w:sz w:val="28"/>
        </w:rPr>
        <w:t>
      В целях предотвращения замещения активов Национального фонда правительственным долгом были введены определенные ограничения.</w:t>
      </w:r>
    </w:p>
    <w:bookmarkEnd w:id="39"/>
    <w:bookmarkStart w:name="z54" w:id="40"/>
    <w:p>
      <w:pPr>
        <w:spacing w:after="0"/>
        <w:ind w:left="0"/>
        <w:jc w:val="both"/>
      </w:pPr>
      <w:r>
        <w:rPr>
          <w:rFonts w:ascii="Times New Roman"/>
          <w:b w:val="false"/>
          <w:i w:val="false"/>
          <w:color w:val="000000"/>
          <w:sz w:val="28"/>
        </w:rPr>
        <w:t>
      Согласно отчету об исполнении республиканского бюджета размер гарантированного трансферта из Национального фонда в республиканский бюджет в 2019 - 2021 годах составил 10,1 трлн тенге. По итогам 2021 года расходы на обслуживание и погашение правительственного долга составили 17 % от доходов республиканского бюджета.</w:t>
      </w:r>
    </w:p>
    <w:bookmarkEnd w:id="40"/>
    <w:bookmarkStart w:name="z55" w:id="41"/>
    <w:p>
      <w:pPr>
        <w:spacing w:after="0"/>
        <w:ind w:left="0"/>
        <w:jc w:val="both"/>
      </w:pPr>
      <w:r>
        <w:rPr>
          <w:rFonts w:ascii="Times New Roman"/>
          <w:b w:val="false"/>
          <w:i w:val="false"/>
          <w:color w:val="000000"/>
          <w:sz w:val="28"/>
        </w:rPr>
        <w:t>
      В целях определения лимитов правительственного долга и гарантированного государством долга будет устанавливаться ограничение по внешнему заимствованию квазигосударственного сектора через согласование их объемов с Правительством. Данное ограничение закреплено в Бюджетном кодексе.</w:t>
      </w:r>
    </w:p>
    <w:bookmarkEnd w:id="41"/>
    <w:bookmarkStart w:name="z56" w:id="42"/>
    <w:p>
      <w:pPr>
        <w:spacing w:after="0"/>
        <w:ind w:left="0"/>
        <w:jc w:val="both"/>
      </w:pPr>
      <w:r>
        <w:rPr>
          <w:rFonts w:ascii="Times New Roman"/>
          <w:b w:val="false"/>
          <w:i w:val="false"/>
          <w:color w:val="000000"/>
          <w:sz w:val="28"/>
        </w:rPr>
        <w:t>
      В 2020 году в Бюджетном кодексе закреплено бюджетное правило, регламентирующее размер гарантированного трансферта из НФРК. Согласно правилу размер гарантированного трансферта не должен превышать прогнозируемые поступления в НФРК от нефтяного сектора при установленной цене "отсечения" на нефть.</w:t>
      </w:r>
    </w:p>
    <w:bookmarkEnd w:id="42"/>
    <w:bookmarkStart w:name="z57" w:id="43"/>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 устойчивости государственных финансов</w:t>
      </w:r>
    </w:p>
    <w:bookmarkEnd w:id="43"/>
    <w:bookmarkStart w:name="z58" w:id="44"/>
    <w:p>
      <w:pPr>
        <w:spacing w:after="0"/>
        <w:ind w:left="0"/>
        <w:jc w:val="both"/>
      </w:pPr>
      <w:r>
        <w:rPr>
          <w:rFonts w:ascii="Times New Roman"/>
          <w:b w:val="false"/>
          <w:i w:val="false"/>
          <w:color w:val="000000"/>
          <w:sz w:val="28"/>
        </w:rPr>
        <w:t>
      В Казахстане виды рисков, способных оказать влияние на экономику страны, рассматриваются Правительством при разработке Прогноза социального экономического развития (далее - ПСЭР) на среднесрочный период, который является основой планирования республиканского бюджета.</w:t>
      </w:r>
    </w:p>
    <w:bookmarkEnd w:id="44"/>
    <w:bookmarkStart w:name="z59" w:id="45"/>
    <w:p>
      <w:pPr>
        <w:spacing w:after="0"/>
        <w:ind w:left="0"/>
        <w:jc w:val="both"/>
      </w:pPr>
      <w:r>
        <w:rPr>
          <w:rFonts w:ascii="Times New Roman"/>
          <w:b w:val="false"/>
          <w:i w:val="false"/>
          <w:color w:val="000000"/>
          <w:sz w:val="28"/>
        </w:rPr>
        <w:t>
      С 2018 года в составе ПСЭР представляется оценка устойчивости государственных финансов.</w:t>
      </w:r>
    </w:p>
    <w:bookmarkEnd w:id="45"/>
    <w:bookmarkStart w:name="z60" w:id="46"/>
    <w:p>
      <w:pPr>
        <w:spacing w:after="0"/>
        <w:ind w:left="0"/>
        <w:jc w:val="both"/>
      </w:pPr>
      <w:r>
        <w:rPr>
          <w:rFonts w:ascii="Times New Roman"/>
          <w:b w:val="false"/>
          <w:i w:val="false"/>
          <w:color w:val="000000"/>
          <w:sz w:val="28"/>
        </w:rPr>
        <w:t>
      По мнению экспертов Международного валютного фонда, несмотря на раскрытие набора рисков в ПСЭР, действующие методы моделирования ограничены анализом узкого диапазона механизмов воздействия макроэкономических рисков, выстроены по аспекту предложения в экономике. В результате происходит недооценка степени влияния экономических шоков на бюджетные позиции, что приводит к реализации бюджетных рисков.</w:t>
      </w:r>
    </w:p>
    <w:bookmarkEnd w:id="46"/>
    <w:bookmarkStart w:name="z61" w:id="47"/>
    <w:p>
      <w:pPr>
        <w:spacing w:after="0"/>
        <w:ind w:left="0"/>
        <w:jc w:val="both"/>
      </w:pPr>
      <w:r>
        <w:rPr>
          <w:rFonts w:ascii="Times New Roman"/>
          <w:b w:val="false"/>
          <w:i w:val="false"/>
          <w:color w:val="000000"/>
          <w:sz w:val="28"/>
        </w:rPr>
        <w:t>
      Вместе с тем показатели социально-экономического развития прогнозируются на пять лет и параметры бюджета составляются на три года. В действующей системе не закреплено требование по разработке долгосрочных прогнозов, охватывающих период более 10 лет. Наблюдаемая тенденция в других странах, связанная с демографическими показателями, такие как старение населения, увеличение рождаемости, или же с климатическими изменениями, актуальна и для Казахстана, так как имеет последствия для экономического роста, программ пенсионного обеспечения, здравоохранения и социального обслуживания, налогообложения и других, что также отразится на параметрах государственного бюджета.</w:t>
      </w:r>
    </w:p>
    <w:bookmarkEnd w:id="47"/>
    <w:bookmarkStart w:name="z62" w:id="48"/>
    <w:p>
      <w:pPr>
        <w:spacing w:after="0"/>
        <w:ind w:left="0"/>
        <w:jc w:val="both"/>
      </w:pPr>
      <w:r>
        <w:rPr>
          <w:rFonts w:ascii="Times New Roman"/>
          <w:b w:val="false"/>
          <w:i w:val="false"/>
          <w:color w:val="000000"/>
          <w:sz w:val="28"/>
        </w:rPr>
        <w:t>
      В целях приближения действующей системы прогнозирования и планирования страны к передовой линии бюджетной практики международными экспертами рекомендована публикация отдельного документа, который станет важной вехой на пути дальнейшего совершенствования работы Правительства по анализу и управлению бюджетными рисками и оценке устойчивости государственных финансов.</w:t>
      </w:r>
    </w:p>
    <w:bookmarkEnd w:id="48"/>
    <w:bookmarkStart w:name="z63" w:id="49"/>
    <w:p>
      <w:pPr>
        <w:spacing w:after="0"/>
        <w:ind w:left="0"/>
        <w:jc w:val="both"/>
      </w:pPr>
      <w:r>
        <w:rPr>
          <w:rFonts w:ascii="Times New Roman"/>
          <w:b w:val="false"/>
          <w:i w:val="false"/>
          <w:color w:val="000000"/>
          <w:sz w:val="28"/>
        </w:rPr>
        <w:t>
      Принятая с 1 января 2022 года норма бюджетного законодательства (подпункт 1-1) пункта 1 статьи 74 Бюджетного кодекса) служит основанием для разработки аналитического отчета о бюджетных рисках и долгосрочной устойчивости государственных финансов, который Правительство Республики Казахстан представляет в Парламент Республики Казахстан одновременно с проектом закона о республиканском бюджете на плановый период.</w:t>
      </w:r>
    </w:p>
    <w:bookmarkEnd w:id="49"/>
    <w:bookmarkStart w:name="z64" w:id="50"/>
    <w:p>
      <w:pPr>
        <w:spacing w:after="0"/>
        <w:ind w:left="0"/>
        <w:jc w:val="both"/>
      </w:pPr>
      <w:r>
        <w:rPr>
          <w:rFonts w:ascii="Times New Roman"/>
          <w:b w:val="false"/>
          <w:i w:val="false"/>
          <w:color w:val="000000"/>
          <w:sz w:val="28"/>
        </w:rPr>
        <w:t>
      Для Казахстана внедрение системы управления бюджетными рисками и оценки долгосрочной устойчивости государственных финансов является важным дополнением к применяемому в настоящее время стратегическому планированию в бюджетном процессе. Раскрытие бюджетных рисков и оценка долгосрочной устойчивости будут способствовать определению баланса издержек и выгод при принятии политических решений, обеспечат понимание долгосрочных точек давления.</w:t>
      </w:r>
    </w:p>
    <w:bookmarkEnd w:id="50"/>
    <w:bookmarkStart w:name="z65"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Укрепление доходной базы </w:t>
      </w:r>
      <w:r>
        <w:rPr>
          <w:rFonts w:ascii="Times New Roman"/>
          <w:b w:val="false"/>
          <w:i w:val="false"/>
          <w:color w:val="000000"/>
          <w:sz w:val="28"/>
        </w:rPr>
        <w:t>бюджета осуществляется за счет принимаемых мер в части повышения качества налогового и таможенного администрирования с учетом использования цифровых технологий, в результате которых ежегодно обеспечивается порядка 700-800 млрд тенге дополнительных поступлений в доход республиканского бюджета. За последние 3 года (2019-2021 годы) бюджет уже получил более 2,3 трлн тенге дополнительных поступлений (916 млрд тенге в 2019 году, 710 млрд тенге в 2020 году, 683 млрд тенге в 2021 году).</w:t>
      </w:r>
    </w:p>
    <w:bookmarkEnd w:id="51"/>
    <w:bookmarkStart w:name="z66" w:id="52"/>
    <w:p>
      <w:pPr>
        <w:spacing w:after="0"/>
        <w:ind w:left="0"/>
        <w:jc w:val="both"/>
      </w:pPr>
      <w:r>
        <w:rPr>
          <w:rFonts w:ascii="Times New Roman"/>
          <w:b w:val="false"/>
          <w:i w:val="false"/>
          <w:color w:val="000000"/>
          <w:sz w:val="28"/>
        </w:rPr>
        <w:t>
      В прогнозе поступлений на 2022 год за счет мер налогового и таможенного администрирования и их цифровизации учтены дополнительные поступления в размере 726 млрд тенге, что позволило снизить уровень теневой экономики с 27 % в 2018 году до 20,2 % в 2020 году к ВВП (23,7 % в 2019 году).</w:t>
      </w:r>
    </w:p>
    <w:bookmarkEnd w:id="52"/>
    <w:bookmarkStart w:name="z67" w:id="53"/>
    <w:p>
      <w:pPr>
        <w:spacing w:after="0"/>
        <w:ind w:left="0"/>
        <w:jc w:val="both"/>
      </w:pPr>
      <w:r>
        <w:rPr>
          <w:rFonts w:ascii="Times New Roman"/>
          <w:b w:val="false"/>
          <w:i w:val="false"/>
          <w:color w:val="000000"/>
          <w:sz w:val="28"/>
        </w:rPr>
        <w:t>
      Работа в данном направлении будет продолжена с учетом полноценного функционирования в 2022 году Национальной системы прослеживаемости товаров, представляющей собой комплекс информационных систем.</w:t>
      </w:r>
    </w:p>
    <w:bookmarkEnd w:id="53"/>
    <w:bookmarkStart w:name="z68" w:id="54"/>
    <w:p>
      <w:pPr>
        <w:spacing w:after="0"/>
        <w:ind w:left="0"/>
        <w:jc w:val="both"/>
      </w:pPr>
      <w:r>
        <w:rPr>
          <w:rFonts w:ascii="Times New Roman"/>
          <w:b w:val="false"/>
          <w:i w:val="false"/>
          <w:color w:val="000000"/>
          <w:sz w:val="28"/>
        </w:rPr>
        <w:t>
      Кроме того, с учетом международного опыта уполномоченным органом по исполнению бюджета начат проект по горизонтальному мониторингу крупного бизнеса, основанный на дистанционном информационном взаимодействии налоговых органов с бухгалтерией крупного бизнеса по обоюдному согласию сторон, что исключает налоговые доначисления и штрафы в будущем.</w:t>
      </w:r>
    </w:p>
    <w:bookmarkEnd w:id="54"/>
    <w:bookmarkStart w:name="z69" w:id="55"/>
    <w:p>
      <w:pPr>
        <w:spacing w:after="0"/>
        <w:ind w:left="0"/>
        <w:jc w:val="both"/>
      </w:pPr>
      <w:r>
        <w:rPr>
          <w:rFonts w:ascii="Times New Roman"/>
          <w:b w:val="false"/>
          <w:i w:val="false"/>
          <w:color w:val="000000"/>
          <w:sz w:val="28"/>
        </w:rPr>
        <w:t>
      Согласно действующему законодательству о трансфертном ценообразовании контроль не осуществляется по сделкам, совершенным на товарной бирже с биржевыми товарами в соответствии с законодательством Республики Казахстан (далее - РК) о товарных биржах.</w:t>
      </w:r>
    </w:p>
    <w:bookmarkEnd w:id="55"/>
    <w:bookmarkStart w:name="z70" w:id="56"/>
    <w:p>
      <w:pPr>
        <w:spacing w:after="0"/>
        <w:ind w:left="0"/>
        <w:jc w:val="both"/>
      </w:pPr>
      <w:r>
        <w:rPr>
          <w:rFonts w:ascii="Times New Roman"/>
          <w:b w:val="false"/>
          <w:i w:val="false"/>
          <w:color w:val="000000"/>
          <w:sz w:val="28"/>
        </w:rPr>
        <w:t>
      За период 2015-2020 годы всего проведено 147 проверок по трансфертному ценообразованию у экспортеров стратегически важных товаров (нефть, газ, нефтепродукты, металлы, руды и концентраты, уголь, зерно), по результатам которых взыскано в бюджет налогов на сумму 50 млрд тенге.</w:t>
      </w:r>
    </w:p>
    <w:bookmarkEnd w:id="56"/>
    <w:bookmarkStart w:name="z71" w:id="57"/>
    <w:p>
      <w:pPr>
        <w:spacing w:after="0"/>
        <w:ind w:left="0"/>
        <w:jc w:val="both"/>
      </w:pPr>
      <w:r>
        <w:rPr>
          <w:rFonts w:ascii="Times New Roman"/>
          <w:b w:val="false"/>
          <w:i w:val="false"/>
          <w:color w:val="000000"/>
          <w:sz w:val="28"/>
        </w:rPr>
        <w:t>
      Кроме того, при мониторинге сделок за 2019 год по сжиженному газу и зерну, реализованным через товарные биржи Казахстана, установлено занижение цен на 10-25 % от рыночных цен в стране импорта (Узбекистан, Таджикистан, Афганистан).</w:t>
      </w:r>
    </w:p>
    <w:bookmarkEnd w:id="57"/>
    <w:bookmarkStart w:name="z72" w:id="58"/>
    <w:p>
      <w:pPr>
        <w:spacing w:after="0"/>
        <w:ind w:left="0"/>
        <w:jc w:val="both"/>
      </w:pPr>
      <w:r>
        <w:rPr>
          <w:rFonts w:ascii="Times New Roman"/>
          <w:b w:val="false"/>
          <w:i w:val="false"/>
          <w:color w:val="000000"/>
          <w:sz w:val="28"/>
        </w:rPr>
        <w:t>
      Также на практике создаются искусственные посреднические структуры, которые принимают минимальный риск при последующей реализации экспортируемой продукции и не признаются взаимосвязанными сторонами.</w:t>
      </w:r>
    </w:p>
    <w:bookmarkEnd w:id="58"/>
    <w:bookmarkStart w:name="z73" w:id="59"/>
    <w:p>
      <w:pPr>
        <w:spacing w:after="0"/>
        <w:ind w:left="0"/>
        <w:jc w:val="both"/>
      </w:pPr>
      <w:r>
        <w:rPr>
          <w:rFonts w:ascii="Times New Roman"/>
          <w:b w:val="false"/>
          <w:i w:val="false"/>
          <w:color w:val="000000"/>
          <w:sz w:val="28"/>
        </w:rPr>
        <w:t>
      Такие сделки не контролируются законодательством о трансфертном ценообразовании, и происходит вывод капитала из РК.</w:t>
      </w:r>
    </w:p>
    <w:bookmarkEnd w:id="59"/>
    <w:bookmarkStart w:name="z74" w:id="60"/>
    <w:p>
      <w:pPr>
        <w:spacing w:after="0"/>
        <w:ind w:left="0"/>
        <w:jc w:val="both"/>
      </w:pPr>
      <w:r>
        <w:rPr>
          <w:rFonts w:ascii="Times New Roman"/>
          <w:b w:val="false"/>
          <w:i w:val="false"/>
          <w:color w:val="000000"/>
          <w:sz w:val="28"/>
        </w:rPr>
        <w:t>
      Запущены мобильные приложения с удобными и простыми функционалами для кардинального упрощения исполнения налоговых обязательств. Это "Е-Salyq-Azamat" - для физических лиц и с 1 января 2022 года "Е-Salyq-business" - для индивидуальных предпринимателей.</w:t>
      </w:r>
    </w:p>
    <w:bookmarkEnd w:id="60"/>
    <w:bookmarkStart w:name="z75" w:id="61"/>
    <w:p>
      <w:pPr>
        <w:spacing w:after="0"/>
        <w:ind w:left="0"/>
        <w:jc w:val="both"/>
      </w:pPr>
      <w:r>
        <w:rPr>
          <w:rFonts w:ascii="Times New Roman"/>
          <w:b w:val="false"/>
          <w:i w:val="false"/>
          <w:color w:val="000000"/>
          <w:sz w:val="28"/>
        </w:rPr>
        <w:t>
      Вместе с тем в отечественном налоговом законодательстве существует широкий спектр преференций, отсрочек, вычетов, изменений способов уплаты налогов и других обязательных платежей бюджет, которые являются льготами.</w:t>
      </w:r>
    </w:p>
    <w:bookmarkEnd w:id="61"/>
    <w:bookmarkStart w:name="z76" w:id="62"/>
    <w:p>
      <w:pPr>
        <w:spacing w:after="0"/>
        <w:ind w:left="0"/>
        <w:jc w:val="both"/>
      </w:pPr>
      <w:r>
        <w:rPr>
          <w:rFonts w:ascii="Times New Roman"/>
          <w:b w:val="false"/>
          <w:i w:val="false"/>
          <w:color w:val="000000"/>
          <w:sz w:val="28"/>
        </w:rPr>
        <w:t>
      Анализ налоговых льгот и преференций проводится на постоянной основе.</w:t>
      </w:r>
    </w:p>
    <w:bookmarkEnd w:id="62"/>
    <w:bookmarkStart w:name="z77" w:id="63"/>
    <w:p>
      <w:pPr>
        <w:spacing w:after="0"/>
        <w:ind w:left="0"/>
        <w:jc w:val="both"/>
      </w:pPr>
      <w:r>
        <w:rPr>
          <w:rFonts w:ascii="Times New Roman"/>
          <w:b w:val="false"/>
          <w:i w:val="false"/>
          <w:color w:val="000000"/>
          <w:sz w:val="28"/>
        </w:rPr>
        <w:t>
      Действующий Налоговый кодекс содержит 277 налоговых льгот.</w:t>
      </w:r>
    </w:p>
    <w:bookmarkEnd w:id="63"/>
    <w:bookmarkStart w:name="z78" w:id="64"/>
    <w:p>
      <w:pPr>
        <w:spacing w:after="0"/>
        <w:ind w:left="0"/>
        <w:jc w:val="both"/>
      </w:pPr>
      <w:r>
        <w:rPr>
          <w:rFonts w:ascii="Times New Roman"/>
          <w:b w:val="false"/>
          <w:i w:val="false"/>
          <w:color w:val="000000"/>
          <w:sz w:val="28"/>
        </w:rPr>
        <w:t>
      Сумма данных льгот составила в 2018 году - 4 511,4 млрд тенге.</w:t>
      </w:r>
    </w:p>
    <w:bookmarkEnd w:id="64"/>
    <w:bookmarkStart w:name="z79" w:id="65"/>
    <w:p>
      <w:pPr>
        <w:spacing w:after="0"/>
        <w:ind w:left="0"/>
        <w:jc w:val="both"/>
      </w:pPr>
      <w:r>
        <w:rPr>
          <w:rFonts w:ascii="Times New Roman"/>
          <w:b w:val="false"/>
          <w:i w:val="false"/>
          <w:color w:val="000000"/>
          <w:sz w:val="28"/>
        </w:rPr>
        <w:t>
      В разрезе налогов сумма по льготам налога на добавленную стоимость (далее - НДС) - 2 700,4 млрд тенге, по корпоративному подоходному налогу (далее - КПН) - 1 786,5 млрд тенге, по остальным льготам - 24,5 млрд тенге, т.е. львиную долю в структуре занимают льготы по НДС и КПН (99,5 %).</w:t>
      </w:r>
    </w:p>
    <w:bookmarkEnd w:id="65"/>
    <w:bookmarkStart w:name="z80" w:id="66"/>
    <w:p>
      <w:pPr>
        <w:spacing w:after="0"/>
        <w:ind w:left="0"/>
        <w:jc w:val="both"/>
      </w:pPr>
      <w:r>
        <w:rPr>
          <w:rFonts w:ascii="Times New Roman"/>
          <w:b w:val="false"/>
          <w:i w:val="false"/>
          <w:color w:val="000000"/>
          <w:sz w:val="28"/>
        </w:rPr>
        <w:t>
      Сумма льгот в 2019 году составила - 4 017,7 млрд тенге, в 2020 году - 4 401,9 млрд тенге. Структура льгот сохранилась.</w:t>
      </w:r>
    </w:p>
    <w:bookmarkEnd w:id="66"/>
    <w:bookmarkStart w:name="z81" w:id="67"/>
    <w:p>
      <w:pPr>
        <w:spacing w:after="0"/>
        <w:ind w:left="0"/>
        <w:jc w:val="both"/>
      </w:pPr>
      <w:r>
        <w:rPr>
          <w:rFonts w:ascii="Times New Roman"/>
          <w:b w:val="false"/>
          <w:i w:val="false"/>
          <w:color w:val="000000"/>
          <w:sz w:val="28"/>
        </w:rPr>
        <w:t>
      Основная часть из этих льгот является стандартной, т.е. соответствующей международной практике.</w:t>
      </w:r>
    </w:p>
    <w:bookmarkEnd w:id="67"/>
    <w:bookmarkStart w:name="z82" w:id="68"/>
    <w:p>
      <w:pPr>
        <w:spacing w:after="0"/>
        <w:ind w:left="0"/>
        <w:jc w:val="both"/>
      </w:pPr>
      <w:r>
        <w:rPr>
          <w:rFonts w:ascii="Times New Roman"/>
          <w:b w:val="false"/>
          <w:i w:val="false"/>
          <w:color w:val="000000"/>
          <w:sz w:val="28"/>
        </w:rPr>
        <w:t>
      В 2020 году сумма льгот по НДС составила 3 153,4 млрд тенге (71,6 %).</w:t>
      </w:r>
    </w:p>
    <w:bookmarkEnd w:id="68"/>
    <w:bookmarkStart w:name="z83" w:id="69"/>
    <w:p>
      <w:pPr>
        <w:spacing w:after="0"/>
        <w:ind w:left="0"/>
        <w:jc w:val="both"/>
      </w:pPr>
      <w:r>
        <w:rPr>
          <w:rFonts w:ascii="Times New Roman"/>
          <w:b w:val="false"/>
          <w:i w:val="false"/>
          <w:color w:val="000000"/>
          <w:sz w:val="28"/>
        </w:rPr>
        <w:t>
      Сумма льгот по КПН в 2020 году составила 1 224,6 млрд тенге (27,8 %).</w:t>
      </w:r>
    </w:p>
    <w:bookmarkEnd w:id="69"/>
    <w:bookmarkStart w:name="z84" w:id="70"/>
    <w:p>
      <w:pPr>
        <w:spacing w:after="0"/>
        <w:ind w:left="0"/>
        <w:jc w:val="both"/>
      </w:pPr>
      <w:r>
        <w:rPr>
          <w:rFonts w:ascii="Times New Roman"/>
          <w:b w:val="false"/>
          <w:i w:val="false"/>
          <w:color w:val="000000"/>
          <w:sz w:val="28"/>
        </w:rPr>
        <w:t>
      Большое количество налоговых льгот обходится государству значительной суммой упущенного дохода.</w:t>
      </w:r>
    </w:p>
    <w:bookmarkEnd w:id="70"/>
    <w:bookmarkStart w:name="z85" w:id="71"/>
    <w:p>
      <w:pPr>
        <w:spacing w:after="0"/>
        <w:ind w:left="0"/>
        <w:jc w:val="both"/>
      </w:pPr>
      <w:r>
        <w:rPr>
          <w:rFonts w:ascii="Times New Roman"/>
          <w:b w:val="false"/>
          <w:i w:val="false"/>
          <w:color w:val="000000"/>
          <w:sz w:val="28"/>
        </w:rPr>
        <w:t xml:space="preserve">
      </w:t>
      </w:r>
      <w:r>
        <w:rPr>
          <w:rFonts w:ascii="Times New Roman"/>
          <w:b/>
          <w:i w:val="false"/>
          <w:color w:val="000000"/>
          <w:sz w:val="28"/>
        </w:rPr>
        <w:t>Вопросы повышения эффективности бюджетной системы</w:t>
      </w:r>
    </w:p>
    <w:bookmarkEnd w:id="71"/>
    <w:bookmarkStart w:name="z86" w:id="72"/>
    <w:p>
      <w:pPr>
        <w:spacing w:after="0"/>
        <w:ind w:left="0"/>
        <w:jc w:val="both"/>
      </w:pPr>
      <w:r>
        <w:rPr>
          <w:rFonts w:ascii="Times New Roman"/>
          <w:b w:val="false"/>
          <w:i w:val="false"/>
          <w:color w:val="000000"/>
          <w:sz w:val="28"/>
        </w:rPr>
        <w:t>
      В 2014-2020 годы работа по повышению эффективности бюджетной системы проводилась в соответствии с Концепцией бюджетной политики и Планом Нации - 100 конкретных шагов.</w:t>
      </w:r>
    </w:p>
    <w:bookmarkEnd w:id="72"/>
    <w:bookmarkStart w:name="z87" w:id="73"/>
    <w:p>
      <w:pPr>
        <w:spacing w:after="0"/>
        <w:ind w:left="0"/>
        <w:jc w:val="both"/>
      </w:pPr>
      <w:r>
        <w:rPr>
          <w:rFonts w:ascii="Times New Roman"/>
          <w:b w:val="false"/>
          <w:i w:val="false"/>
          <w:color w:val="000000"/>
          <w:sz w:val="28"/>
        </w:rPr>
        <w:t>
      Реформы проводились комплексно. Основной посыл реформ в этом периоде - это продолжение работы по переходу от "управления бюджетными средствами" к "управлению результатами".</w:t>
      </w:r>
    </w:p>
    <w:bookmarkEnd w:id="73"/>
    <w:bookmarkStart w:name="z88" w:id="74"/>
    <w:p>
      <w:pPr>
        <w:spacing w:after="0"/>
        <w:ind w:left="0"/>
        <w:jc w:val="both"/>
      </w:pPr>
      <w:r>
        <w:rPr>
          <w:rFonts w:ascii="Times New Roman"/>
          <w:b w:val="false"/>
          <w:i w:val="false"/>
          <w:color w:val="000000"/>
          <w:sz w:val="28"/>
        </w:rPr>
        <w:t>
      В этой связи в 2013 году была принята Концепция совершенствования Системы государственного планирования, ориентированной на результаты (далее - Концепция).</w:t>
      </w:r>
    </w:p>
    <w:bookmarkEnd w:id="74"/>
    <w:bookmarkStart w:name="z89" w:id="75"/>
    <w:p>
      <w:pPr>
        <w:spacing w:after="0"/>
        <w:ind w:left="0"/>
        <w:jc w:val="both"/>
      </w:pPr>
      <w:r>
        <w:rPr>
          <w:rFonts w:ascii="Times New Roman"/>
          <w:b w:val="false"/>
          <w:i w:val="false"/>
          <w:color w:val="000000"/>
          <w:sz w:val="28"/>
        </w:rPr>
        <w:t>
      Концепция до настоящего времени содержит основные принципы и подходы по дальнейшему развитию системы государственного планирования, а также определяет цели и задачи реализации государственной политики по вопросам государственного планирования.</w:t>
      </w:r>
    </w:p>
    <w:bookmarkEnd w:id="75"/>
    <w:bookmarkStart w:name="z90" w:id="76"/>
    <w:p>
      <w:pPr>
        <w:spacing w:after="0"/>
        <w:ind w:left="0"/>
        <w:jc w:val="both"/>
      </w:pPr>
      <w:r>
        <w:rPr>
          <w:rFonts w:ascii="Times New Roman"/>
          <w:b w:val="false"/>
          <w:i w:val="false"/>
          <w:color w:val="000000"/>
          <w:sz w:val="28"/>
        </w:rPr>
        <w:t>
      Основными принципами являются необходимость и правомерность разработки документов нижестоящего уровня в зависимости от документов, стоящих на уровень выше.</w:t>
      </w:r>
    </w:p>
    <w:bookmarkEnd w:id="76"/>
    <w:bookmarkStart w:name="z91" w:id="77"/>
    <w:p>
      <w:pPr>
        <w:spacing w:after="0"/>
        <w:ind w:left="0"/>
        <w:jc w:val="both"/>
      </w:pPr>
      <w:r>
        <w:rPr>
          <w:rFonts w:ascii="Times New Roman"/>
          <w:b w:val="false"/>
          <w:i w:val="false"/>
          <w:color w:val="000000"/>
          <w:sz w:val="28"/>
        </w:rPr>
        <w:t>
      Это означает, что целевые индикаторы и показатели результатов должны декомпозироваться и определяться исходя из иерархии документов системы государственного планирования.</w:t>
      </w:r>
    </w:p>
    <w:bookmarkEnd w:id="77"/>
    <w:bookmarkStart w:name="z92" w:id="78"/>
    <w:p>
      <w:pPr>
        <w:spacing w:after="0"/>
        <w:ind w:left="0"/>
        <w:jc w:val="both"/>
      </w:pPr>
      <w:r>
        <w:rPr>
          <w:rFonts w:ascii="Times New Roman"/>
          <w:b w:val="false"/>
          <w:i w:val="false"/>
          <w:color w:val="000000"/>
          <w:sz w:val="28"/>
        </w:rPr>
        <w:t>
      В свою очередь расходы бюджета должны быть направлены на достижение целевых индикаторов и показателей результатов, установленных в документах системы государственного планирования, то есть на "управление результатами".</w:t>
      </w:r>
    </w:p>
    <w:bookmarkEnd w:id="78"/>
    <w:bookmarkStart w:name="z93" w:id="79"/>
    <w:p>
      <w:pPr>
        <w:spacing w:after="0"/>
        <w:ind w:left="0"/>
        <w:jc w:val="both"/>
      </w:pPr>
      <w:r>
        <w:rPr>
          <w:rFonts w:ascii="Times New Roman"/>
          <w:b w:val="false"/>
          <w:i w:val="false"/>
          <w:color w:val="000000"/>
          <w:sz w:val="28"/>
        </w:rPr>
        <w:t>
      Основные подходы к "управлению результатами" предполагают следующее:</w:t>
      </w:r>
    </w:p>
    <w:bookmarkEnd w:id="79"/>
    <w:bookmarkStart w:name="z94" w:id="80"/>
    <w:p>
      <w:pPr>
        <w:spacing w:after="0"/>
        <w:ind w:left="0"/>
        <w:jc w:val="both"/>
      </w:pPr>
      <w:r>
        <w:rPr>
          <w:rFonts w:ascii="Times New Roman"/>
          <w:b w:val="false"/>
          <w:i w:val="false"/>
          <w:color w:val="000000"/>
          <w:sz w:val="28"/>
        </w:rPr>
        <w:t>
      бюджет формируется исходя из целей и результатов государственной политики;</w:t>
      </w:r>
    </w:p>
    <w:bookmarkEnd w:id="80"/>
    <w:bookmarkStart w:name="z95" w:id="81"/>
    <w:p>
      <w:pPr>
        <w:spacing w:after="0"/>
        <w:ind w:left="0"/>
        <w:jc w:val="both"/>
      </w:pPr>
      <w:r>
        <w:rPr>
          <w:rFonts w:ascii="Times New Roman"/>
          <w:b w:val="false"/>
          <w:i w:val="false"/>
          <w:color w:val="000000"/>
          <w:sz w:val="28"/>
        </w:rPr>
        <w:t>
      при планировании расходов основное внимание уделяется обоснованию конечных результатов в рамках бюджетных программ;</w:t>
      </w:r>
    </w:p>
    <w:bookmarkEnd w:id="81"/>
    <w:bookmarkStart w:name="z96" w:id="82"/>
    <w:p>
      <w:pPr>
        <w:spacing w:after="0"/>
        <w:ind w:left="0"/>
        <w:jc w:val="both"/>
      </w:pPr>
      <w:r>
        <w:rPr>
          <w:rFonts w:ascii="Times New Roman"/>
          <w:b w:val="false"/>
          <w:i w:val="false"/>
          <w:color w:val="000000"/>
          <w:sz w:val="28"/>
        </w:rPr>
        <w:t>
      распределение бюджетных средств между администраторами бюджетных средств и (или) реализуемыми ими бюджетными программами осуществляется в прямой зависимости от достижения конечных результатов в соответствии с приоритетами, установленными программными документами страны;</w:t>
      </w:r>
    </w:p>
    <w:bookmarkEnd w:id="82"/>
    <w:bookmarkStart w:name="z97" w:id="83"/>
    <w:p>
      <w:pPr>
        <w:spacing w:after="0"/>
        <w:ind w:left="0"/>
        <w:jc w:val="both"/>
      </w:pPr>
      <w:r>
        <w:rPr>
          <w:rFonts w:ascii="Times New Roman"/>
          <w:b w:val="false"/>
          <w:i w:val="false"/>
          <w:color w:val="000000"/>
          <w:sz w:val="28"/>
        </w:rPr>
        <w:t>
      оценка результатов деятельности администраторов бюджетных средств осуществляется по достигнутым результатам.</w:t>
      </w:r>
    </w:p>
    <w:bookmarkEnd w:id="83"/>
    <w:bookmarkStart w:name="z98" w:id="84"/>
    <w:p>
      <w:pPr>
        <w:spacing w:after="0"/>
        <w:ind w:left="0"/>
        <w:jc w:val="both"/>
      </w:pPr>
      <w:r>
        <w:rPr>
          <w:rFonts w:ascii="Times New Roman"/>
          <w:b w:val="false"/>
          <w:i w:val="false"/>
          <w:color w:val="000000"/>
          <w:sz w:val="28"/>
        </w:rPr>
        <w:t>
      Применение бюджетирования, ориентированного на результат, позволяет:</w:t>
      </w:r>
    </w:p>
    <w:bookmarkEnd w:id="84"/>
    <w:bookmarkStart w:name="z99" w:id="85"/>
    <w:p>
      <w:pPr>
        <w:spacing w:after="0"/>
        <w:ind w:left="0"/>
        <w:jc w:val="both"/>
      </w:pPr>
      <w:r>
        <w:rPr>
          <w:rFonts w:ascii="Times New Roman"/>
          <w:b w:val="false"/>
          <w:i w:val="false"/>
          <w:color w:val="000000"/>
          <w:sz w:val="28"/>
        </w:rPr>
        <w:t>
      сосредоточить бюджетные расходы на приоритетных направлениях развития экономики;</w:t>
      </w:r>
    </w:p>
    <w:bookmarkEnd w:id="85"/>
    <w:bookmarkStart w:name="z100" w:id="86"/>
    <w:p>
      <w:pPr>
        <w:spacing w:after="0"/>
        <w:ind w:left="0"/>
        <w:jc w:val="both"/>
      </w:pPr>
      <w:r>
        <w:rPr>
          <w:rFonts w:ascii="Times New Roman"/>
          <w:b w:val="false"/>
          <w:i w:val="false"/>
          <w:color w:val="000000"/>
          <w:sz w:val="28"/>
        </w:rPr>
        <w:t>
      установить взаимосвязь между ожидаемыми результатами бюджетных программ и объемом необходимых ресурсов;</w:t>
      </w:r>
    </w:p>
    <w:bookmarkEnd w:id="86"/>
    <w:bookmarkStart w:name="z101" w:id="87"/>
    <w:p>
      <w:pPr>
        <w:spacing w:after="0"/>
        <w:ind w:left="0"/>
        <w:jc w:val="both"/>
      </w:pPr>
      <w:r>
        <w:rPr>
          <w:rFonts w:ascii="Times New Roman"/>
          <w:b w:val="false"/>
          <w:i w:val="false"/>
          <w:color w:val="000000"/>
          <w:sz w:val="28"/>
        </w:rPr>
        <w:t>
      повысить обоснованность бюджетных расходов;</w:t>
      </w:r>
    </w:p>
    <w:bookmarkEnd w:id="87"/>
    <w:bookmarkStart w:name="z102" w:id="88"/>
    <w:p>
      <w:pPr>
        <w:spacing w:after="0"/>
        <w:ind w:left="0"/>
        <w:jc w:val="both"/>
      </w:pPr>
      <w:r>
        <w:rPr>
          <w:rFonts w:ascii="Times New Roman"/>
          <w:b w:val="false"/>
          <w:i w:val="false"/>
          <w:color w:val="000000"/>
          <w:sz w:val="28"/>
        </w:rPr>
        <w:t>
      расширить самостоятельность государственных органов с повышением их ответственности за реализацию бюджетных программ.</w:t>
      </w:r>
    </w:p>
    <w:bookmarkEnd w:id="88"/>
    <w:bookmarkStart w:name="z103" w:id="89"/>
    <w:p>
      <w:pPr>
        <w:spacing w:after="0"/>
        <w:ind w:left="0"/>
        <w:jc w:val="both"/>
      </w:pPr>
      <w:r>
        <w:rPr>
          <w:rFonts w:ascii="Times New Roman"/>
          <w:b w:val="false"/>
          <w:i w:val="false"/>
          <w:color w:val="000000"/>
          <w:sz w:val="28"/>
        </w:rPr>
        <w:t>
      Начиная с формирования бюджета на 2021-2023 финансовые годы, внедрена новая система бюджетного планирования.</w:t>
      </w:r>
    </w:p>
    <w:bookmarkEnd w:id="89"/>
    <w:bookmarkStart w:name="z104" w:id="90"/>
    <w:p>
      <w:pPr>
        <w:spacing w:after="0"/>
        <w:ind w:left="0"/>
        <w:jc w:val="both"/>
      </w:pPr>
      <w:r>
        <w:rPr>
          <w:rFonts w:ascii="Times New Roman"/>
          <w:b w:val="false"/>
          <w:i w:val="false"/>
          <w:color w:val="000000"/>
          <w:sz w:val="28"/>
        </w:rPr>
        <w:t>
      С внедрением новых подходов в бюджетном планировании бюджетный процесс начинается не с лимитов по расходам, а с приоритизации стратегических целей и задач.</w:t>
      </w:r>
    </w:p>
    <w:bookmarkEnd w:id="90"/>
    <w:bookmarkStart w:name="z105" w:id="91"/>
    <w:p>
      <w:pPr>
        <w:spacing w:after="0"/>
        <w:ind w:left="0"/>
        <w:jc w:val="both"/>
      </w:pPr>
      <w:r>
        <w:rPr>
          <w:rFonts w:ascii="Times New Roman"/>
          <w:b w:val="false"/>
          <w:i w:val="false"/>
          <w:color w:val="000000"/>
          <w:sz w:val="28"/>
        </w:rPr>
        <w:t>
      Администраторы бюджетных программ в рамках бюджетной заявки осуществляют оценку эффективности заявляемых расходов на бюджетные инвестиции и бюджетные субсидии.</w:t>
      </w:r>
    </w:p>
    <w:bookmarkEnd w:id="91"/>
    <w:bookmarkStart w:name="z106" w:id="92"/>
    <w:p>
      <w:pPr>
        <w:spacing w:after="0"/>
        <w:ind w:left="0"/>
        <w:jc w:val="both"/>
      </w:pPr>
      <w:r>
        <w:rPr>
          <w:rFonts w:ascii="Times New Roman"/>
          <w:b w:val="false"/>
          <w:i w:val="false"/>
          <w:color w:val="000000"/>
          <w:sz w:val="28"/>
        </w:rPr>
        <w:t>
      При каждом министерстве созданы ведомственные бюджетные комиссии, которые утверждают заявку администраторов по постоянным расходам. Помимо самостоятельности это повысит качество планирования на уровне самих государственных органов.</w:t>
      </w:r>
    </w:p>
    <w:bookmarkEnd w:id="92"/>
    <w:bookmarkStart w:name="z107" w:id="93"/>
    <w:p>
      <w:pPr>
        <w:spacing w:after="0"/>
        <w:ind w:left="0"/>
        <w:jc w:val="both"/>
      </w:pPr>
      <w:r>
        <w:rPr>
          <w:rFonts w:ascii="Times New Roman"/>
          <w:b w:val="false"/>
          <w:i w:val="false"/>
          <w:color w:val="000000"/>
          <w:sz w:val="28"/>
        </w:rPr>
        <w:t>
      Таким образом, бюджетным законодательством значительно расширены границы самостоятельности государственных органов с одновременным усилением ответственности.</w:t>
      </w:r>
    </w:p>
    <w:bookmarkEnd w:id="93"/>
    <w:bookmarkStart w:name="z108" w:id="94"/>
    <w:p>
      <w:pPr>
        <w:spacing w:after="0"/>
        <w:ind w:left="0"/>
        <w:jc w:val="both"/>
      </w:pPr>
      <w:r>
        <w:rPr>
          <w:rFonts w:ascii="Times New Roman"/>
          <w:b w:val="false"/>
          <w:i w:val="false"/>
          <w:color w:val="000000"/>
          <w:sz w:val="28"/>
        </w:rPr>
        <w:t>
      Изменения затронули формат представления проекта бюджета, отчета о его исполнении и их рассмотрения в Парламенте. Эти процедуры акцентированы на достижении результатов согласно принципу перехода от "управления деньгами" к "управлению результатами".</w:t>
      </w:r>
    </w:p>
    <w:bookmarkEnd w:id="94"/>
    <w:bookmarkStart w:name="z109" w:id="95"/>
    <w:p>
      <w:pPr>
        <w:spacing w:after="0"/>
        <w:ind w:left="0"/>
        <w:jc w:val="both"/>
      </w:pPr>
      <w:r>
        <w:rPr>
          <w:rFonts w:ascii="Times New Roman"/>
          <w:b w:val="false"/>
          <w:i w:val="false"/>
          <w:color w:val="000000"/>
          <w:sz w:val="28"/>
        </w:rPr>
        <w:t>
      При обсуждении годового отчета в Парламенте заслушиваются доклады уполномоченных лиц, руководителей администраторов бюджетных программ о достижении прямых и конечных результатов и акимов по полученным из республиканского бюджета целевым трансфертам и бюджетным кредитам.</w:t>
      </w:r>
    </w:p>
    <w:bookmarkEnd w:id="95"/>
    <w:bookmarkStart w:name="z110" w:id="96"/>
    <w:p>
      <w:pPr>
        <w:spacing w:after="0"/>
        <w:ind w:left="0"/>
        <w:jc w:val="both"/>
      </w:pPr>
      <w:r>
        <w:rPr>
          <w:rFonts w:ascii="Times New Roman"/>
          <w:b w:val="false"/>
          <w:i w:val="false"/>
          <w:color w:val="000000"/>
          <w:sz w:val="28"/>
        </w:rPr>
        <w:t>
      В 2021 году в стране была принята новая Система государственного планирования: указами Президента РК были утверждены Общенациональные приоритеты Республики Казахстан до 2025 года и Национальный план развития Республики Казахстан до 2025 года.</w:t>
      </w:r>
    </w:p>
    <w:bookmarkEnd w:id="96"/>
    <w:bookmarkStart w:name="z111" w:id="97"/>
    <w:p>
      <w:pPr>
        <w:spacing w:after="0"/>
        <w:ind w:left="0"/>
        <w:jc w:val="both"/>
      </w:pPr>
      <w:r>
        <w:rPr>
          <w:rFonts w:ascii="Times New Roman"/>
          <w:b w:val="false"/>
          <w:i w:val="false"/>
          <w:color w:val="000000"/>
          <w:sz w:val="28"/>
        </w:rPr>
        <w:t>
      Были утверждены национальные проекты с интеграцией на законодательной основе в бюджетный процесс. Согласно требованиям Бюджетного кодекса финансирование мероприятий национальных проектов осуществляется в приоритетном порядке с соблюдением принципов бюджетной системы.</w:t>
      </w:r>
    </w:p>
    <w:bookmarkEnd w:id="97"/>
    <w:bookmarkStart w:name="z112" w:id="98"/>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Система оценки результатов</w:t>
      </w:r>
    </w:p>
    <w:bookmarkEnd w:id="98"/>
    <w:bookmarkStart w:name="z113" w:id="99"/>
    <w:p>
      <w:pPr>
        <w:spacing w:after="0"/>
        <w:ind w:left="0"/>
        <w:jc w:val="both"/>
      </w:pPr>
      <w:r>
        <w:rPr>
          <w:rFonts w:ascii="Times New Roman"/>
          <w:b w:val="false"/>
          <w:i w:val="false"/>
          <w:color w:val="000000"/>
          <w:sz w:val="28"/>
        </w:rPr>
        <w:t>
      Создаваемая в стране система бюджетирования, ориентированная на результаты, требовала дальнейшего развития системы оценки результатов с внедрением новых инструментов оценки.</w:t>
      </w:r>
    </w:p>
    <w:bookmarkEnd w:id="99"/>
    <w:bookmarkStart w:name="z114" w:id="100"/>
    <w:p>
      <w:pPr>
        <w:spacing w:after="0"/>
        <w:ind w:left="0"/>
        <w:jc w:val="both"/>
      </w:pPr>
      <w:r>
        <w:rPr>
          <w:rFonts w:ascii="Times New Roman"/>
          <w:b w:val="false"/>
          <w:i w:val="false"/>
          <w:color w:val="000000"/>
          <w:sz w:val="28"/>
        </w:rPr>
        <w:t>
      Указом Президента Республики Казахстан от 19 марта 2010 года № 954 была внедрена Система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как инструмент для повышения эффективности их деятельности.</w:t>
      </w:r>
    </w:p>
    <w:bookmarkEnd w:id="100"/>
    <w:bookmarkStart w:name="z115" w:id="101"/>
    <w:p>
      <w:pPr>
        <w:spacing w:after="0"/>
        <w:ind w:left="0"/>
        <w:jc w:val="both"/>
      </w:pPr>
      <w:r>
        <w:rPr>
          <w:rFonts w:ascii="Times New Roman"/>
          <w:b w:val="false"/>
          <w:i w:val="false"/>
          <w:color w:val="000000"/>
          <w:sz w:val="28"/>
        </w:rPr>
        <w:t>
      Предметом оценки эффективности деятельности центральных государственных и местных исполнительных органов была определена степень реализации возложенных задач и функций государственного органа.</w:t>
      </w:r>
    </w:p>
    <w:bookmarkEnd w:id="101"/>
    <w:bookmarkStart w:name="z116" w:id="102"/>
    <w:p>
      <w:pPr>
        <w:spacing w:after="0"/>
        <w:ind w:left="0"/>
        <w:jc w:val="both"/>
      </w:pPr>
      <w:r>
        <w:rPr>
          <w:rFonts w:ascii="Times New Roman"/>
          <w:b w:val="false"/>
          <w:i w:val="false"/>
          <w:color w:val="000000"/>
          <w:sz w:val="28"/>
        </w:rPr>
        <w:t>
      Вопрос оценки бюджетных расходов для Казахстана приобрел актуальность в процессе внедрения новой системы бюджетного планирования, ориентированной на результат.</w:t>
      </w:r>
    </w:p>
    <w:bookmarkEnd w:id="102"/>
    <w:bookmarkStart w:name="z117" w:id="103"/>
    <w:p>
      <w:pPr>
        <w:spacing w:after="0"/>
        <w:ind w:left="0"/>
        <w:jc w:val="both"/>
      </w:pPr>
      <w:r>
        <w:rPr>
          <w:rFonts w:ascii="Times New Roman"/>
          <w:b w:val="false"/>
          <w:i w:val="false"/>
          <w:color w:val="000000"/>
          <w:sz w:val="28"/>
        </w:rPr>
        <w:t>
      В настоящее время в системе государственного управления Казахстана действуют следующие виды оценки:</w:t>
      </w:r>
    </w:p>
    <w:bookmarkEnd w:id="103"/>
    <w:bookmarkStart w:name="z118" w:id="104"/>
    <w:p>
      <w:pPr>
        <w:spacing w:after="0"/>
        <w:ind w:left="0"/>
        <w:jc w:val="both"/>
      </w:pPr>
      <w:r>
        <w:rPr>
          <w:rFonts w:ascii="Times New Roman"/>
          <w:b w:val="false"/>
          <w:i w:val="false"/>
          <w:color w:val="000000"/>
          <w:sz w:val="28"/>
        </w:rPr>
        <w:t>
      оценка реализации документов Системы государственного планирования;</w:t>
      </w:r>
    </w:p>
    <w:bookmarkEnd w:id="104"/>
    <w:bookmarkStart w:name="z119" w:id="105"/>
    <w:p>
      <w:pPr>
        <w:spacing w:after="0"/>
        <w:ind w:left="0"/>
        <w:jc w:val="both"/>
      </w:pPr>
      <w:r>
        <w:rPr>
          <w:rFonts w:ascii="Times New Roman"/>
          <w:b w:val="false"/>
          <w:i w:val="false"/>
          <w:color w:val="000000"/>
          <w:sz w:val="28"/>
        </w:rPr>
        <w:t>
      оценка эффективности деятельности государственных органов;</w:t>
      </w:r>
    </w:p>
    <w:bookmarkEnd w:id="105"/>
    <w:bookmarkStart w:name="z120" w:id="106"/>
    <w:p>
      <w:pPr>
        <w:spacing w:after="0"/>
        <w:ind w:left="0"/>
        <w:jc w:val="both"/>
      </w:pPr>
      <w:r>
        <w:rPr>
          <w:rFonts w:ascii="Times New Roman"/>
          <w:b w:val="false"/>
          <w:i w:val="false"/>
          <w:color w:val="000000"/>
          <w:sz w:val="28"/>
        </w:rPr>
        <w:t>
      оценка реализации бюджетных инвестиций;</w:t>
      </w:r>
    </w:p>
    <w:bookmarkEnd w:id="106"/>
    <w:bookmarkStart w:name="z121" w:id="107"/>
    <w:p>
      <w:pPr>
        <w:spacing w:after="0"/>
        <w:ind w:left="0"/>
        <w:jc w:val="both"/>
      </w:pPr>
      <w:r>
        <w:rPr>
          <w:rFonts w:ascii="Times New Roman"/>
          <w:b w:val="false"/>
          <w:i w:val="false"/>
          <w:color w:val="000000"/>
          <w:sz w:val="28"/>
        </w:rPr>
        <w:t>
      оценка эффективности управления государственным имуществом.</w:t>
      </w:r>
    </w:p>
    <w:bookmarkEnd w:id="107"/>
    <w:bookmarkStart w:name="z122" w:id="108"/>
    <w:p>
      <w:pPr>
        <w:spacing w:after="0"/>
        <w:ind w:left="0"/>
        <w:jc w:val="both"/>
      </w:pPr>
      <w:r>
        <w:rPr>
          <w:rFonts w:ascii="Times New Roman"/>
          <w:b w:val="false"/>
          <w:i w:val="false"/>
          <w:color w:val="000000"/>
          <w:sz w:val="28"/>
        </w:rPr>
        <w:t>
      Все указанные виды оценки результатов проводятся на ежегодной основе с предоставлением результатов оценки с соответствующими выводами и рекомендациями в уполномоченные и вышестоящие органы.</w:t>
      </w:r>
    </w:p>
    <w:bookmarkEnd w:id="108"/>
    <w:bookmarkStart w:name="z123" w:id="109"/>
    <w:p>
      <w:pPr>
        <w:spacing w:after="0"/>
        <w:ind w:left="0"/>
        <w:jc w:val="both"/>
      </w:pPr>
      <w:r>
        <w:rPr>
          <w:rFonts w:ascii="Times New Roman"/>
          <w:b w:val="false"/>
          <w:i w:val="false"/>
          <w:color w:val="000000"/>
          <w:sz w:val="28"/>
        </w:rPr>
        <w:t>
      Вместе с тем анализ использования рекомендации по результатам оценок, а также проводимая работа по совершенствованию процесса бюджетного планирования показывают, что имеются определенные проблемы в востребованности результатов оценок и их использовании при принятии решений по распределению ресурсов.</w:t>
      </w:r>
    </w:p>
    <w:bookmarkEnd w:id="109"/>
    <w:bookmarkStart w:name="z124" w:id="110"/>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Бюджетные инвестиции</w:t>
      </w:r>
    </w:p>
    <w:bookmarkEnd w:id="110"/>
    <w:bookmarkStart w:name="z125" w:id="111"/>
    <w:p>
      <w:pPr>
        <w:spacing w:after="0"/>
        <w:ind w:left="0"/>
        <w:jc w:val="both"/>
      </w:pPr>
      <w:r>
        <w:rPr>
          <w:rFonts w:ascii="Times New Roman"/>
          <w:b w:val="false"/>
          <w:i w:val="false"/>
          <w:color w:val="000000"/>
          <w:sz w:val="28"/>
        </w:rPr>
        <w:t>
      В рамках реализации Концепции бюджетной политики была пересмотрена система планирования бюджетных инвестиций, при которой уже на стадии формирования инвестиционных предложений до разработки технико-экономических обоснований и проектно-сметной документации (далее - ПСД) будут проводиться жесткий отбор проектов по соответствующим критериям и определяться схема их финансирования.</w:t>
      </w:r>
    </w:p>
    <w:bookmarkEnd w:id="111"/>
    <w:bookmarkStart w:name="z126" w:id="112"/>
    <w:p>
      <w:pPr>
        <w:spacing w:after="0"/>
        <w:ind w:left="0"/>
        <w:jc w:val="both"/>
      </w:pPr>
      <w:r>
        <w:rPr>
          <w:rFonts w:ascii="Times New Roman"/>
          <w:b w:val="false"/>
          <w:i w:val="false"/>
          <w:color w:val="000000"/>
          <w:sz w:val="28"/>
        </w:rPr>
        <w:t>
      В целях сокращения излишних процедур при планировании и реализации бюджетных инвестиций в 2013 году в Бюджетный кодекс был внедрен метод отбора государственных инвестиционных проектов по принципу "бюджетного компаратора", который предполагает определение возможного вида и способов финансирования государственных инвестиционных проектов на стадии инвестиционного предложения за счет бюджетных либо частных инвестиций, т.е. реализацию проекта как бюджетного инвестиционного проекта, бюджетного кредита, формирование или увеличение уставного капитала юридических лиц, государственно-частного проекта либо за счет частных инвестиций.</w:t>
      </w:r>
    </w:p>
    <w:bookmarkEnd w:id="112"/>
    <w:bookmarkStart w:name="z127" w:id="113"/>
    <w:p>
      <w:pPr>
        <w:spacing w:after="0"/>
        <w:ind w:left="0"/>
        <w:jc w:val="both"/>
      </w:pPr>
      <w:r>
        <w:rPr>
          <w:rFonts w:ascii="Times New Roman"/>
          <w:b w:val="false"/>
          <w:i w:val="false"/>
          <w:color w:val="000000"/>
          <w:sz w:val="28"/>
        </w:rPr>
        <w:t>
      Несмотря на проводимую работу по совершенствованию бюджетных процедур для планирования и реализации бюджетных инвестиций, одной из существенных проблем на сегодняшний день является отсутствие единой базы данных по бюджетным инвестициям, позволяющей вести на единой платформе полноценный учҰт и мониторинг всех планируемых и реализуемых бюджетных инвестиций, с накоплением и сохранением исторических данных по проектам, начиная с этапа их планирования до фактического ввода в эксплуатацию (достижение прямых и конечных результатов).</w:t>
      </w:r>
    </w:p>
    <w:bookmarkEnd w:id="113"/>
    <w:bookmarkStart w:name="z128" w:id="114"/>
    <w:p>
      <w:pPr>
        <w:spacing w:after="0"/>
        <w:ind w:left="0"/>
        <w:jc w:val="both"/>
      </w:pPr>
      <w:r>
        <w:rPr>
          <w:rFonts w:ascii="Times New Roman"/>
          <w:b w:val="false"/>
          <w:i w:val="false"/>
          <w:color w:val="000000"/>
          <w:sz w:val="28"/>
        </w:rPr>
        <w:t>
      Для решения данного вопроса в настоящее время уполномоченным органом по бюджетному планированию совместно с уполномоченным органом по государственному планированию прорабатываются вопросы включения и развития отдельного модуля "Государственные инвестиционные проекты" в рамках развития Информационной системы государственного планирования.</w:t>
      </w:r>
    </w:p>
    <w:bookmarkEnd w:id="114"/>
    <w:bookmarkStart w:name="z129" w:id="115"/>
    <w:p>
      <w:pPr>
        <w:spacing w:after="0"/>
        <w:ind w:left="0"/>
        <w:jc w:val="both"/>
      </w:pPr>
      <w:r>
        <w:rPr>
          <w:rFonts w:ascii="Times New Roman"/>
          <w:b w:val="false"/>
          <w:i w:val="false"/>
          <w:color w:val="000000"/>
          <w:sz w:val="28"/>
        </w:rPr>
        <w:t>
      С введением в эксплуатацию вышеуказанной информационной системы ожидается оптимизация бизнес-процессов путем подключения всех заинтересованных государственных органов в единую информационную систему, что позволит завершить полный переход на электронный документооборот.</w:t>
      </w:r>
    </w:p>
    <w:bookmarkEnd w:id="115"/>
    <w:bookmarkStart w:name="z130" w:id="116"/>
    <w:p>
      <w:pPr>
        <w:spacing w:after="0"/>
        <w:ind w:left="0"/>
        <w:jc w:val="both"/>
      </w:pPr>
      <w:r>
        <w:rPr>
          <w:rFonts w:ascii="Times New Roman"/>
          <w:b w:val="false"/>
          <w:i w:val="false"/>
          <w:color w:val="000000"/>
          <w:sz w:val="28"/>
        </w:rPr>
        <w:t>
      Также ожидается, что введение в эксплуатацию вышеуказанного модуля окажет своевременное содействие в решении некоторых актуальных вопросов, в том числе по введению базы данных по государственным инвестиционным проектам и внедрению подхода "единого окна" для рассмотрения технико-экономических обоснований и ПСД.</w:t>
      </w:r>
    </w:p>
    <w:bookmarkEnd w:id="116"/>
    <w:bookmarkStart w:name="z131" w:id="117"/>
    <w:p>
      <w:pPr>
        <w:spacing w:after="0"/>
        <w:ind w:left="0"/>
        <w:jc w:val="both"/>
      </w:pPr>
      <w:r>
        <w:rPr>
          <w:rFonts w:ascii="Times New Roman"/>
          <w:b w:val="false"/>
          <w:i w:val="false"/>
          <w:color w:val="000000"/>
          <w:sz w:val="28"/>
        </w:rPr>
        <w:t>
      Полноценный институт государственно-частного партнерства (далее - ГЧП) был внедрен с принятием 31 октября 2015 года Закона Республики Казахстан "О государственно-частном партнерстве" (далее - Закон о ГЧП).</w:t>
      </w:r>
    </w:p>
    <w:bookmarkEnd w:id="117"/>
    <w:bookmarkStart w:name="z132" w:id="118"/>
    <w:p>
      <w:pPr>
        <w:spacing w:after="0"/>
        <w:ind w:left="0"/>
        <w:jc w:val="both"/>
      </w:pPr>
      <w:r>
        <w:rPr>
          <w:rFonts w:ascii="Times New Roman"/>
          <w:b w:val="false"/>
          <w:i w:val="false"/>
          <w:color w:val="000000"/>
          <w:sz w:val="28"/>
        </w:rPr>
        <w:t>
      Закон о ГЧП открыл возможность реализации ГЧП во многих сферах экономики, расширил его контрактные формы, а также возможность заключения договоров не только на основании конкурса, но и путем прямых переговоров.</w:t>
      </w:r>
    </w:p>
    <w:bookmarkEnd w:id="118"/>
    <w:bookmarkStart w:name="z133" w:id="119"/>
    <w:p>
      <w:pPr>
        <w:spacing w:after="0"/>
        <w:ind w:left="0"/>
        <w:jc w:val="both"/>
      </w:pPr>
      <w:r>
        <w:rPr>
          <w:rFonts w:ascii="Times New Roman"/>
          <w:b w:val="false"/>
          <w:i w:val="false"/>
          <w:color w:val="000000"/>
          <w:sz w:val="28"/>
        </w:rPr>
        <w:t>
      В 2019 году были внесены изменения в законодательство по ГЧП по повышению приоритетности и качества проектов, где закреплено, что решение по проектам ГЧП должно приниматься с учетом ценности для населения и срочности проекта. Для обеспечения комплексного и всестороннего подхода к разработке проектов, минимизации неучтенных рисков, снижению коррупциогенности было внедрено обязательное создание Межведомственной проектной группы.</w:t>
      </w:r>
    </w:p>
    <w:bookmarkEnd w:id="119"/>
    <w:bookmarkStart w:name="z134" w:id="120"/>
    <w:p>
      <w:pPr>
        <w:spacing w:after="0"/>
        <w:ind w:left="0"/>
        <w:jc w:val="both"/>
      </w:pPr>
      <w:r>
        <w:rPr>
          <w:rFonts w:ascii="Times New Roman"/>
          <w:b w:val="false"/>
          <w:i w:val="false"/>
          <w:color w:val="000000"/>
          <w:sz w:val="28"/>
        </w:rPr>
        <w:t>
      За период существования института ГЧП с 2015 года по 1 декабря 2021 года заключено 876 договоров ГЧП на общую сумму 2 098 млрд тенге, в том числе количество проектов 1-й категории - 331 (1 873,3 млрд тенге), 2-й категории -212(118 млрд тенге), 3-й категории - 333 (107,1 млрд тенге).</w:t>
      </w:r>
    </w:p>
    <w:bookmarkEnd w:id="120"/>
    <w:bookmarkStart w:name="z135" w:id="121"/>
    <w:p>
      <w:pPr>
        <w:spacing w:after="0"/>
        <w:ind w:left="0"/>
        <w:jc w:val="both"/>
      </w:pPr>
      <w:r>
        <w:rPr>
          <w:rFonts w:ascii="Times New Roman"/>
          <w:b w:val="false"/>
          <w:i w:val="false"/>
          <w:color w:val="000000"/>
          <w:sz w:val="28"/>
        </w:rPr>
        <w:t>
      Нагрузка на бюджет зависит от отнесения ГЧП проектов к той или иной категории, так как 1-я категория - полное возмещение всех затрат из бюджета, 2-я категория - частичное возмещение затрат из бюджета и 3-я категория - проекты, окупаемые за счет тарифов и платных услуг.</w:t>
      </w:r>
    </w:p>
    <w:bookmarkEnd w:id="121"/>
    <w:bookmarkStart w:name="z136" w:id="122"/>
    <w:p>
      <w:pPr>
        <w:spacing w:after="0"/>
        <w:ind w:left="0"/>
        <w:jc w:val="both"/>
      </w:pPr>
      <w:r>
        <w:rPr>
          <w:rFonts w:ascii="Times New Roman"/>
          <w:b w:val="false"/>
          <w:i w:val="false"/>
          <w:color w:val="000000"/>
          <w:sz w:val="28"/>
        </w:rPr>
        <w:t xml:space="preserve">
      </w:t>
      </w:r>
      <w:r>
        <w:rPr>
          <w:rFonts w:ascii="Times New Roman"/>
          <w:b/>
          <w:i w:val="false"/>
          <w:color w:val="000000"/>
          <w:sz w:val="28"/>
        </w:rPr>
        <w:t>Межбюджетные отношения</w:t>
      </w:r>
    </w:p>
    <w:bookmarkEnd w:id="122"/>
    <w:bookmarkStart w:name="z137" w:id="123"/>
    <w:p>
      <w:pPr>
        <w:spacing w:after="0"/>
        <w:ind w:left="0"/>
        <w:jc w:val="both"/>
      </w:pPr>
      <w:r>
        <w:rPr>
          <w:rFonts w:ascii="Times New Roman"/>
          <w:b w:val="false"/>
          <w:i w:val="false"/>
          <w:color w:val="000000"/>
          <w:sz w:val="28"/>
        </w:rPr>
        <w:t>
      С момента повсеместного внедрения с 2020 года самостоятельных бюджетов органов местного самоуправления бюджетная система Казахстана представлена четырехуровневой системой государственного бюджета, состоящей из республиканского и трех уровней местных бюджетов в виде областных (городов республиканского значения, столицы), районных (городов областного значения), городов районного значения, сел, поселков и сельских округов.</w:t>
      </w:r>
    </w:p>
    <w:bookmarkEnd w:id="123"/>
    <w:bookmarkStart w:name="z138" w:id="124"/>
    <w:p>
      <w:pPr>
        <w:spacing w:after="0"/>
        <w:ind w:left="0"/>
        <w:jc w:val="both"/>
      </w:pPr>
      <w:r>
        <w:rPr>
          <w:rFonts w:ascii="Times New Roman"/>
          <w:b w:val="false"/>
          <w:i w:val="false"/>
          <w:color w:val="000000"/>
          <w:sz w:val="28"/>
        </w:rPr>
        <w:t>
      В вопросах обеспечения эффективного государственного управления в стране региональная политика, реализуемая за счет местных бюджетов, имеет огромное значение. В свою очередь, в успешном функционировании местных бюджетов важная роль отводится системе межбюджетных отношений между центром и регионами.</w:t>
      </w:r>
    </w:p>
    <w:bookmarkEnd w:id="124"/>
    <w:bookmarkStart w:name="z139" w:id="125"/>
    <w:p>
      <w:pPr>
        <w:spacing w:after="0"/>
        <w:ind w:left="0"/>
        <w:jc w:val="both"/>
      </w:pPr>
      <w:r>
        <w:rPr>
          <w:rFonts w:ascii="Times New Roman"/>
          <w:b w:val="false"/>
          <w:i w:val="false"/>
          <w:color w:val="000000"/>
          <w:sz w:val="28"/>
        </w:rPr>
        <w:t>
      Согласно действующей системе межбюджетные отношения регулируются трансфертами общего характера (бюджетные субвенции и изъятия), целевыми трансфертами (целевые текущие трансферты и трансферты на развитие) и кредитами.</w:t>
      </w:r>
    </w:p>
    <w:bookmarkEnd w:id="125"/>
    <w:bookmarkStart w:name="z140" w:id="126"/>
    <w:p>
      <w:pPr>
        <w:spacing w:after="0"/>
        <w:ind w:left="0"/>
        <w:jc w:val="both"/>
      </w:pPr>
      <w:r>
        <w:rPr>
          <w:rFonts w:ascii="Times New Roman"/>
          <w:b w:val="false"/>
          <w:i w:val="false"/>
          <w:color w:val="000000"/>
          <w:sz w:val="28"/>
        </w:rPr>
        <w:t>
      Трансферты общего характера направлены на выравнивание уровня бюджетной обеспеченности (выравнивание доходов и расходов местных бюджетов) и обеспечение равных фискальных возможностей регионов для предоставления гарантированных государством услуг.</w:t>
      </w:r>
    </w:p>
    <w:bookmarkEnd w:id="126"/>
    <w:bookmarkStart w:name="z141" w:id="127"/>
    <w:p>
      <w:pPr>
        <w:spacing w:after="0"/>
        <w:ind w:left="0"/>
        <w:jc w:val="both"/>
      </w:pPr>
      <w:r>
        <w:rPr>
          <w:rFonts w:ascii="Times New Roman"/>
          <w:b w:val="false"/>
          <w:i w:val="false"/>
          <w:color w:val="000000"/>
          <w:sz w:val="28"/>
        </w:rPr>
        <w:t>
      Целевые трансферты являются инструментом оперативного регулирования межбюджетных отношений в период действия трехлетних трансфертов общего характера.</w:t>
      </w:r>
    </w:p>
    <w:bookmarkEnd w:id="127"/>
    <w:bookmarkStart w:name="z142" w:id="128"/>
    <w:p>
      <w:pPr>
        <w:spacing w:after="0"/>
        <w:ind w:left="0"/>
        <w:jc w:val="both"/>
      </w:pPr>
      <w:r>
        <w:rPr>
          <w:rFonts w:ascii="Times New Roman"/>
          <w:b w:val="false"/>
          <w:i w:val="false"/>
          <w:color w:val="000000"/>
          <w:sz w:val="28"/>
        </w:rPr>
        <w:t>
      Целевые текущие трансферты выделяются для компенсации потерь местных бюджетов, вытекающих из принятия нормативных правовых актов, а целевые трансферты на развитие - на выравнивание обеспеченности регионов социальной инфраструктурой и объектами жизнеобеспечения.</w:t>
      </w:r>
    </w:p>
    <w:bookmarkEnd w:id="128"/>
    <w:bookmarkStart w:name="z143" w:id="129"/>
    <w:p>
      <w:pPr>
        <w:spacing w:after="0"/>
        <w:ind w:left="0"/>
        <w:jc w:val="both"/>
      </w:pPr>
      <w:r>
        <w:rPr>
          <w:rFonts w:ascii="Times New Roman"/>
          <w:b w:val="false"/>
          <w:i w:val="false"/>
          <w:color w:val="000000"/>
          <w:sz w:val="28"/>
        </w:rPr>
        <w:t>
      Объемы бюджетных субвенций и изъятий между республиканским и местными бюджетами утверждаются законом на трехлетний период и не подлежат изменению в течение трех лет.</w:t>
      </w:r>
    </w:p>
    <w:bookmarkEnd w:id="129"/>
    <w:bookmarkStart w:name="z144" w:id="130"/>
    <w:p>
      <w:pPr>
        <w:spacing w:after="0"/>
        <w:ind w:left="0"/>
        <w:jc w:val="both"/>
      </w:pPr>
      <w:r>
        <w:rPr>
          <w:rFonts w:ascii="Times New Roman"/>
          <w:b w:val="false"/>
          <w:i w:val="false"/>
          <w:color w:val="000000"/>
          <w:sz w:val="28"/>
        </w:rPr>
        <w:t>
      Закрепление бюджетных субвенций и изъятий на 3 года имеет стимулирующий характер для регионов, так как дает возможность акимам самостоятельно распоряжаться дополнительными доходами, поступившими в период действия трехлетних трансфертов общего характера, для решения вопросов местного значения.</w:t>
      </w:r>
    </w:p>
    <w:bookmarkEnd w:id="130"/>
    <w:bookmarkStart w:name="z145" w:id="131"/>
    <w:p>
      <w:pPr>
        <w:spacing w:after="0"/>
        <w:ind w:left="0"/>
        <w:jc w:val="both"/>
      </w:pPr>
      <w:r>
        <w:rPr>
          <w:rFonts w:ascii="Times New Roman"/>
          <w:b w:val="false"/>
          <w:i w:val="false"/>
          <w:color w:val="000000"/>
          <w:sz w:val="28"/>
        </w:rPr>
        <w:t>
      Доходы, полученные МИО свыше прогноза, а также свободные остатки бюджетных средств на начало года остаются в их распоряжении и не изымаются в республиканский бюджет, что создает стимул в увеличении налоговой базы по налогам, поступающим в местный бюджет.</w:t>
      </w:r>
    </w:p>
    <w:bookmarkEnd w:id="131"/>
    <w:bookmarkStart w:name="z146" w:id="132"/>
    <w:p>
      <w:pPr>
        <w:spacing w:after="0"/>
        <w:ind w:left="0"/>
        <w:jc w:val="both"/>
      </w:pPr>
      <w:r>
        <w:rPr>
          <w:rFonts w:ascii="Times New Roman"/>
          <w:b w:val="false"/>
          <w:i w:val="false"/>
          <w:color w:val="000000"/>
          <w:sz w:val="28"/>
        </w:rPr>
        <w:t>
      Так, если ежегодное перевыполнение прогноза по доходам местных бюджетов за 2013 - 2019 в среднем составляло 109,2 % к предыдущему году, то за период 2020 - 2021 годах составило в среднем 124,5 % к предыдущему году.</w:t>
      </w:r>
    </w:p>
    <w:bookmarkEnd w:id="132"/>
    <w:bookmarkStart w:name="z147" w:id="133"/>
    <w:p>
      <w:pPr>
        <w:spacing w:after="0"/>
        <w:ind w:left="0"/>
        <w:jc w:val="both"/>
      </w:pPr>
      <w:r>
        <w:rPr>
          <w:rFonts w:ascii="Times New Roman"/>
          <w:b w:val="false"/>
          <w:i w:val="false"/>
          <w:color w:val="000000"/>
          <w:sz w:val="28"/>
        </w:rPr>
        <w:t>
      Ежегодно имеются неиспользованные по итогам года остатки средств местных бюджетов. Так, на конец 2013 года остатки бюджетных средств регионов составляли 98,3 млрд тенге, тогда как на конец 2021 года составили 414,5 млрд тенге.</w:t>
      </w:r>
    </w:p>
    <w:bookmarkEnd w:id="133"/>
    <w:bookmarkStart w:name="z148" w:id="134"/>
    <w:p>
      <w:pPr>
        <w:spacing w:after="0"/>
        <w:ind w:left="0"/>
        <w:jc w:val="both"/>
      </w:pPr>
      <w:r>
        <w:rPr>
          <w:rFonts w:ascii="Times New Roman"/>
          <w:b w:val="false"/>
          <w:i w:val="false"/>
          <w:color w:val="000000"/>
          <w:sz w:val="28"/>
        </w:rPr>
        <w:t>
      Данные средства регионами самостоятельно направляются на решение социально-экономических проблем, в том числе на развитие инфраструктуры.</w:t>
      </w:r>
    </w:p>
    <w:bookmarkEnd w:id="134"/>
    <w:bookmarkStart w:name="z149" w:id="135"/>
    <w:p>
      <w:pPr>
        <w:spacing w:after="0"/>
        <w:ind w:left="0"/>
        <w:jc w:val="both"/>
      </w:pPr>
      <w:r>
        <w:rPr>
          <w:rFonts w:ascii="Times New Roman"/>
          <w:b w:val="false"/>
          <w:i w:val="false"/>
          <w:color w:val="000000"/>
          <w:sz w:val="28"/>
        </w:rPr>
        <w:t>
      За местными бюджетами закреплены налоговые поступления, имеющие стабильный характер, не зависящие от внешних факторов.</w:t>
      </w:r>
    </w:p>
    <w:bookmarkEnd w:id="135"/>
    <w:bookmarkStart w:name="z150" w:id="136"/>
    <w:p>
      <w:pPr>
        <w:spacing w:after="0"/>
        <w:ind w:left="0"/>
        <w:jc w:val="both"/>
      </w:pPr>
      <w:r>
        <w:rPr>
          <w:rFonts w:ascii="Times New Roman"/>
          <w:b w:val="false"/>
          <w:i w:val="false"/>
          <w:color w:val="000000"/>
          <w:sz w:val="28"/>
        </w:rPr>
        <w:t>
      Текущие налоги, индивидуальный подоходный налог, социальный налог, транспортный, имущественный и земельный налоги и другие сборы, поступающие в местный бюджет, являются стабильным источником доходов МИО и менее подвержены воздействию экономических циклов.</w:t>
      </w:r>
    </w:p>
    <w:bookmarkEnd w:id="136"/>
    <w:bookmarkStart w:name="z151" w:id="137"/>
    <w:p>
      <w:pPr>
        <w:spacing w:after="0"/>
        <w:ind w:left="0"/>
        <w:jc w:val="both"/>
      </w:pPr>
      <w:r>
        <w:rPr>
          <w:rFonts w:ascii="Times New Roman"/>
          <w:b w:val="false"/>
          <w:i w:val="false"/>
          <w:color w:val="000000"/>
          <w:sz w:val="28"/>
        </w:rPr>
        <w:t>
      Кроме того, данные налоги взимаются с налоговой базы, имеющей четкую территориальную привязку, и имеют высокую степень собираемости.</w:t>
      </w:r>
    </w:p>
    <w:bookmarkEnd w:id="137"/>
    <w:bookmarkStart w:name="z152" w:id="138"/>
    <w:p>
      <w:pPr>
        <w:spacing w:after="0"/>
        <w:ind w:left="0"/>
        <w:jc w:val="both"/>
      </w:pPr>
      <w:r>
        <w:rPr>
          <w:rFonts w:ascii="Times New Roman"/>
          <w:b w:val="false"/>
          <w:i w:val="false"/>
          <w:color w:val="000000"/>
          <w:sz w:val="28"/>
        </w:rPr>
        <w:t>
      Все это обеспечивает стабильность доходов местных бюджетов.</w:t>
      </w:r>
    </w:p>
    <w:bookmarkEnd w:id="138"/>
    <w:bookmarkStart w:name="z153" w:id="139"/>
    <w:p>
      <w:pPr>
        <w:spacing w:after="0"/>
        <w:ind w:left="0"/>
        <w:jc w:val="both"/>
      </w:pPr>
      <w:r>
        <w:rPr>
          <w:rFonts w:ascii="Times New Roman"/>
          <w:b w:val="false"/>
          <w:i w:val="false"/>
          <w:color w:val="000000"/>
          <w:sz w:val="28"/>
        </w:rPr>
        <w:t>
      Также с 2020 года в местные бюджеты переданы поступления КПН от малого среднего бизнеса (далее - МСБ) для усиления заинтересованности акимов в расширении налоговой базы через диверсификацию региональных экономик, а также развитие МСБ несырьевого сектора.</w:t>
      </w:r>
    </w:p>
    <w:bookmarkEnd w:id="139"/>
    <w:bookmarkStart w:name="z154" w:id="140"/>
    <w:p>
      <w:pPr>
        <w:spacing w:after="0"/>
        <w:ind w:left="0"/>
        <w:jc w:val="both"/>
      </w:pPr>
      <w:r>
        <w:rPr>
          <w:rFonts w:ascii="Times New Roman"/>
          <w:b w:val="false"/>
          <w:i w:val="false"/>
          <w:color w:val="000000"/>
          <w:sz w:val="28"/>
        </w:rPr>
        <w:t>
      В результате в 2021 году дополнительно поступило в местные бюджеты 304 млрд тенге, или 70,8 % к прогнозу (прогноз - 429 млрд тенге).</w:t>
      </w:r>
    </w:p>
    <w:bookmarkEnd w:id="140"/>
    <w:bookmarkStart w:name="z155" w:id="141"/>
    <w:p>
      <w:pPr>
        <w:spacing w:after="0"/>
        <w:ind w:left="0"/>
        <w:jc w:val="both"/>
      </w:pPr>
      <w:r>
        <w:rPr>
          <w:rFonts w:ascii="Times New Roman"/>
          <w:b w:val="false"/>
          <w:i w:val="false"/>
          <w:color w:val="000000"/>
          <w:sz w:val="28"/>
        </w:rPr>
        <w:t>
      В целях усиления стимула МИО по повышению экономической активности в регионе, развитию МСБ и увеличению доходов местных бюджетов в рамках совершенствования бюджетного законодательства предусмотрено закрепление предельных нормативов распределения поступлений КПН от МСБ из областного бюджета в районный (города областного значения) бюджет не менее 50 %.</w:t>
      </w:r>
    </w:p>
    <w:bookmarkEnd w:id="141"/>
    <w:bookmarkStart w:name="z156" w:id="142"/>
    <w:p>
      <w:pPr>
        <w:spacing w:after="0"/>
        <w:ind w:left="0"/>
        <w:jc w:val="both"/>
      </w:pPr>
      <w:r>
        <w:rPr>
          <w:rFonts w:ascii="Times New Roman"/>
          <w:b w:val="false"/>
          <w:i w:val="false"/>
          <w:color w:val="000000"/>
          <w:sz w:val="28"/>
        </w:rPr>
        <w:t>
      В 2021 году были усовершенствована методика расчетов трансфертов общего характера, пересмотрены показатели и коэффициенты с учетом их актуальности и учета региональной специфики, нацеленности на повышение уровня жизни населения.</w:t>
      </w:r>
    </w:p>
    <w:bookmarkEnd w:id="142"/>
    <w:bookmarkStart w:name="z157" w:id="143"/>
    <w:p>
      <w:pPr>
        <w:spacing w:after="0"/>
        <w:ind w:left="0"/>
        <w:jc w:val="both"/>
      </w:pPr>
      <w:r>
        <w:rPr>
          <w:rFonts w:ascii="Times New Roman"/>
          <w:b w:val="false"/>
          <w:i w:val="false"/>
          <w:color w:val="000000"/>
          <w:sz w:val="28"/>
        </w:rPr>
        <w:t>
      Введены дополнительные отраслевые коэффициенты, учитывающие текущее состояние инфраструктуры в регионах.</w:t>
      </w:r>
    </w:p>
    <w:bookmarkEnd w:id="143"/>
    <w:bookmarkStart w:name="z158" w:id="144"/>
    <w:p>
      <w:pPr>
        <w:spacing w:after="0"/>
        <w:ind w:left="0"/>
        <w:jc w:val="both"/>
      </w:pPr>
      <w:r>
        <w:rPr>
          <w:rFonts w:ascii="Times New Roman"/>
          <w:b w:val="false"/>
          <w:i w:val="false"/>
          <w:color w:val="000000"/>
          <w:sz w:val="28"/>
        </w:rPr>
        <w:t>
      Пересмотрен подход по определению прогноза текущих затрат местных бюджетов. В качестве расчетной базы используется фактически сложившийся уровень текущих расходов каждого региона.</w:t>
      </w:r>
    </w:p>
    <w:bookmarkEnd w:id="144"/>
    <w:bookmarkStart w:name="z159" w:id="145"/>
    <w:p>
      <w:pPr>
        <w:spacing w:after="0"/>
        <w:ind w:left="0"/>
        <w:jc w:val="both"/>
      </w:pPr>
      <w:r>
        <w:rPr>
          <w:rFonts w:ascii="Times New Roman"/>
          <w:b w:val="false"/>
          <w:i w:val="false"/>
          <w:color w:val="000000"/>
          <w:sz w:val="28"/>
        </w:rPr>
        <w:t>
      Это объективно и максимально учитывает специфику каждого региона и сложившийся уровень текущих затрат региона на одного жителя (получателя бюджетных услуг).</w:t>
      </w:r>
    </w:p>
    <w:bookmarkEnd w:id="145"/>
    <w:bookmarkStart w:name="z160" w:id="146"/>
    <w:p>
      <w:pPr>
        <w:spacing w:after="0"/>
        <w:ind w:left="0"/>
        <w:jc w:val="both"/>
      </w:pPr>
      <w:r>
        <w:rPr>
          <w:rFonts w:ascii="Times New Roman"/>
          <w:b w:val="false"/>
          <w:i w:val="false"/>
          <w:color w:val="000000"/>
          <w:sz w:val="28"/>
        </w:rPr>
        <w:t xml:space="preserve">
      </w:t>
      </w:r>
      <w:r>
        <w:rPr>
          <w:rFonts w:ascii="Times New Roman"/>
          <w:b/>
          <w:i w:val="false"/>
          <w:color w:val="000000"/>
          <w:sz w:val="28"/>
        </w:rPr>
        <w:t>Учет и отчетность в бюджетной системе</w:t>
      </w:r>
    </w:p>
    <w:bookmarkEnd w:id="146"/>
    <w:bookmarkStart w:name="z161" w:id="147"/>
    <w:p>
      <w:pPr>
        <w:spacing w:after="0"/>
        <w:ind w:left="0"/>
        <w:jc w:val="both"/>
      </w:pPr>
      <w:r>
        <w:rPr>
          <w:rFonts w:ascii="Times New Roman"/>
          <w:b w:val="false"/>
          <w:i w:val="false"/>
          <w:color w:val="000000"/>
          <w:sz w:val="28"/>
        </w:rPr>
        <w:t>
      Реформы в бюджетной системе коснулись и сфер учета и отчетности.</w:t>
      </w:r>
    </w:p>
    <w:bookmarkEnd w:id="147"/>
    <w:bookmarkStart w:name="z162" w:id="148"/>
    <w:p>
      <w:pPr>
        <w:spacing w:after="0"/>
        <w:ind w:left="0"/>
        <w:jc w:val="both"/>
      </w:pPr>
      <w:r>
        <w:rPr>
          <w:rFonts w:ascii="Times New Roman"/>
          <w:b w:val="false"/>
          <w:i w:val="false"/>
          <w:color w:val="000000"/>
          <w:sz w:val="28"/>
        </w:rPr>
        <w:t>
      В соответствии с международным опытом заложены основы формирования отчетности по методу начисления, в связи с чем в настоящее время в государственном секторе существуют два потока информации: на кассовой основе и по методу начисления.</w:t>
      </w:r>
    </w:p>
    <w:bookmarkEnd w:id="148"/>
    <w:bookmarkStart w:name="z163" w:id="149"/>
    <w:p>
      <w:pPr>
        <w:spacing w:after="0"/>
        <w:ind w:left="0"/>
        <w:jc w:val="both"/>
      </w:pPr>
      <w:r>
        <w:rPr>
          <w:rFonts w:ascii="Times New Roman"/>
          <w:b w:val="false"/>
          <w:i w:val="false"/>
          <w:color w:val="000000"/>
          <w:sz w:val="28"/>
        </w:rPr>
        <w:t>
      Финансовая отчетность государственных учреждений, формируемая с применением плана счетов бухгалтерского учета, представляет собой информацию по методу начисления.</w:t>
      </w:r>
    </w:p>
    <w:bookmarkEnd w:id="149"/>
    <w:bookmarkStart w:name="z164" w:id="150"/>
    <w:p>
      <w:pPr>
        <w:spacing w:after="0"/>
        <w:ind w:left="0"/>
        <w:jc w:val="both"/>
      </w:pPr>
      <w:r>
        <w:rPr>
          <w:rFonts w:ascii="Times New Roman"/>
          <w:b w:val="false"/>
          <w:i w:val="false"/>
          <w:color w:val="000000"/>
          <w:sz w:val="28"/>
        </w:rPr>
        <w:t>
      Бюджетная отчетность и проект бюджета с применением единой бюджетной классификации представляют собой поток информации на кассовой основе.</w:t>
      </w:r>
    </w:p>
    <w:bookmarkEnd w:id="150"/>
    <w:bookmarkStart w:name="z165" w:id="151"/>
    <w:p>
      <w:pPr>
        <w:spacing w:after="0"/>
        <w:ind w:left="0"/>
        <w:jc w:val="both"/>
      </w:pPr>
      <w:r>
        <w:rPr>
          <w:rFonts w:ascii="Times New Roman"/>
          <w:b w:val="false"/>
          <w:i w:val="false"/>
          <w:color w:val="000000"/>
          <w:sz w:val="28"/>
        </w:rPr>
        <w:t>
      Для дальнейшей реализации реформы необходимо объединение этих двух потоков информации, для чего с 2024 года предусмотрено применение единого плана счетов как кодификации счетов бухгалтерского учета, бюджетного учета и единой бюджетной классификации.</w:t>
      </w:r>
    </w:p>
    <w:bookmarkEnd w:id="151"/>
    <w:bookmarkStart w:name="z166" w:id="152"/>
    <w:p>
      <w:pPr>
        <w:spacing w:after="0"/>
        <w:ind w:left="0"/>
        <w:jc w:val="both"/>
      </w:pPr>
      <w:r>
        <w:rPr>
          <w:rFonts w:ascii="Times New Roman"/>
          <w:b w:val="false"/>
          <w:i w:val="false"/>
          <w:color w:val="000000"/>
          <w:sz w:val="28"/>
        </w:rPr>
        <w:t>
      В настоящее время функции по обеспечению исполнения республиканского бюджета, расчетно-кассовому обслуживанию местного бюджета, формированию достоверной бюджетной отчетности о доходах и расходах бюджета на кассовой основе по всем уровням бюджета, а также составлению консолидированной финансовой отчетности по методу начисления возложены на органы казначейства, являющиеся с 1994 года ведомством с территориальными подразделениями в структуре центрального уполномоченного органа по исполнению бюджета.</w:t>
      </w:r>
    </w:p>
    <w:bookmarkEnd w:id="152"/>
    <w:bookmarkStart w:name="z167" w:id="153"/>
    <w:p>
      <w:pPr>
        <w:spacing w:after="0"/>
        <w:ind w:left="0"/>
        <w:jc w:val="both"/>
      </w:pPr>
      <w:r>
        <w:rPr>
          <w:rFonts w:ascii="Times New Roman"/>
          <w:b w:val="false"/>
          <w:i w:val="false"/>
          <w:color w:val="000000"/>
          <w:sz w:val="28"/>
        </w:rPr>
        <w:t>
      Органы казначейства, аккумулируя на Едином казначейском счете (далее - ЕКС) поступления в НФРК, средства республиканского и местных бюджетов, внешних правительственных займов и грантов, на формирование и увеличение уставных капиталов юридических лиц, обеспечивают ежедневную оперативную их обработку и формирование бюджетной отчетности.</w:t>
      </w:r>
    </w:p>
    <w:bookmarkEnd w:id="153"/>
    <w:bookmarkStart w:name="z168" w:id="154"/>
    <w:p>
      <w:pPr>
        <w:spacing w:after="0"/>
        <w:ind w:left="0"/>
        <w:jc w:val="both"/>
      </w:pPr>
      <w:r>
        <w:rPr>
          <w:rFonts w:ascii="Times New Roman"/>
          <w:b w:val="false"/>
          <w:i w:val="false"/>
          <w:color w:val="000000"/>
          <w:sz w:val="28"/>
        </w:rPr>
        <w:t>
      В результате дальнейшего совершенствования казначейской системы, повышения качества предоставляемых услуг, интеграции с другими смежными информационными системами в настоящее время органами казначейства обеспечиваются прозрачность проводимых финансовых операций, ускоренное доведение бюджетных денег до реального сектора экономики, полный безбумажный документооборот с участниками системы с сокращением времени на обработку финансовых документов с 3-х дней в 2010 году до 6 часов в 2021 году.</w:t>
      </w:r>
    </w:p>
    <w:bookmarkEnd w:id="154"/>
    <w:bookmarkStart w:name="z169" w:id="155"/>
    <w:p>
      <w:pPr>
        <w:spacing w:after="0"/>
        <w:ind w:left="0"/>
        <w:jc w:val="both"/>
      </w:pPr>
      <w:r>
        <w:rPr>
          <w:rFonts w:ascii="Times New Roman"/>
          <w:b w:val="false"/>
          <w:i w:val="false"/>
          <w:color w:val="000000"/>
          <w:sz w:val="28"/>
        </w:rPr>
        <w:t xml:space="preserve">
      </w:t>
      </w:r>
      <w:r>
        <w:rPr>
          <w:rFonts w:ascii="Times New Roman"/>
          <w:b/>
          <w:i w:val="false"/>
          <w:color w:val="000000"/>
          <w:sz w:val="28"/>
        </w:rPr>
        <w:t>Эффективность управления государственным имуществом</w:t>
      </w:r>
    </w:p>
    <w:bookmarkEnd w:id="155"/>
    <w:bookmarkStart w:name="z170" w:id="156"/>
    <w:p>
      <w:pPr>
        <w:spacing w:after="0"/>
        <w:ind w:left="0"/>
        <w:jc w:val="both"/>
      </w:pPr>
      <w:r>
        <w:rPr>
          <w:rFonts w:ascii="Times New Roman"/>
          <w:b w:val="false"/>
          <w:i w:val="false"/>
          <w:color w:val="000000"/>
          <w:sz w:val="28"/>
        </w:rPr>
        <w:t>
      За годы независимости Казахстан добился определенного прогресса в вопросах управления государственными активами.</w:t>
      </w:r>
    </w:p>
    <w:bookmarkEnd w:id="156"/>
    <w:bookmarkStart w:name="z171" w:id="157"/>
    <w:p>
      <w:pPr>
        <w:spacing w:after="0"/>
        <w:ind w:left="0"/>
        <w:jc w:val="both"/>
      </w:pPr>
      <w:r>
        <w:rPr>
          <w:rFonts w:ascii="Times New Roman"/>
          <w:b w:val="false"/>
          <w:i w:val="false"/>
          <w:color w:val="000000"/>
          <w:sz w:val="28"/>
        </w:rPr>
        <w:t>
      На устойчивость государственных финансов определенное влияние оказывает эффективность управления государственным имуществом ввиду активного финансирования за счет бюджетных средств субъектов квазигосударственного сектора.</w:t>
      </w:r>
    </w:p>
    <w:bookmarkEnd w:id="157"/>
    <w:bookmarkStart w:name="z172" w:id="158"/>
    <w:p>
      <w:pPr>
        <w:spacing w:after="0"/>
        <w:ind w:left="0"/>
        <w:jc w:val="both"/>
      </w:pPr>
      <w:r>
        <w:rPr>
          <w:rFonts w:ascii="Times New Roman"/>
          <w:b w:val="false"/>
          <w:i w:val="false"/>
          <w:color w:val="000000"/>
          <w:sz w:val="28"/>
        </w:rPr>
        <w:t>
      В отсутствии динамично развивающегося частного сектора и постоянной зависимости от добывающей промышленности именно квазигосударственный сектор должен был стать одним из основных инструментов стимулирования экономического развития страны.</w:t>
      </w:r>
    </w:p>
    <w:bookmarkEnd w:id="158"/>
    <w:bookmarkStart w:name="z173" w:id="159"/>
    <w:p>
      <w:pPr>
        <w:spacing w:after="0"/>
        <w:ind w:left="0"/>
        <w:jc w:val="both"/>
      </w:pPr>
      <w:r>
        <w:rPr>
          <w:rFonts w:ascii="Times New Roman"/>
          <w:b w:val="false"/>
          <w:i w:val="false"/>
          <w:color w:val="000000"/>
          <w:sz w:val="28"/>
        </w:rPr>
        <w:t>
      На первоначальном этапе создание субъектов квазигосударственного сектора было нацелено на решение определенных задач государства, в том числе на развитие стратегически важных и недоразвитых рынков, создание технологичных производств в несырьевых секторах экономики с последующим выходом субъектов квазигосударственного сектора в конкурентную среду.</w:t>
      </w:r>
    </w:p>
    <w:bookmarkEnd w:id="159"/>
    <w:bookmarkStart w:name="z174" w:id="160"/>
    <w:p>
      <w:pPr>
        <w:spacing w:after="0"/>
        <w:ind w:left="0"/>
        <w:jc w:val="both"/>
      </w:pPr>
      <w:r>
        <w:rPr>
          <w:rFonts w:ascii="Times New Roman"/>
          <w:b w:val="false"/>
          <w:i w:val="false"/>
          <w:color w:val="000000"/>
          <w:sz w:val="28"/>
        </w:rPr>
        <w:t>
      Было проведено разделение роли государства как собственника и управленца, сформированы национальные холдинги по управлению государственными активами и институты развития. Данный институт также позволил снизить нагрузку на государственный аппарат и обеспечить гибкость в вопросах управления и оплаты труда.</w:t>
      </w:r>
    </w:p>
    <w:bookmarkEnd w:id="160"/>
    <w:bookmarkStart w:name="z175" w:id="161"/>
    <w:p>
      <w:pPr>
        <w:spacing w:after="0"/>
        <w:ind w:left="0"/>
        <w:jc w:val="both"/>
      </w:pPr>
      <w:r>
        <w:rPr>
          <w:rFonts w:ascii="Times New Roman"/>
          <w:b w:val="false"/>
          <w:i w:val="false"/>
          <w:color w:val="000000"/>
          <w:sz w:val="28"/>
        </w:rPr>
        <w:t>
      В целях сокращения участия государства в экономике в 2016 - 2020 годы в рамках реализации Комплексного плана приватизации продано 506 объектов, реорганизован и ликвидирован 301 объект. От реализации активов поступило 629,5 млрд тенге.</w:t>
      </w:r>
    </w:p>
    <w:bookmarkEnd w:id="161"/>
    <w:bookmarkStart w:name="z176" w:id="162"/>
    <w:p>
      <w:pPr>
        <w:spacing w:after="0"/>
        <w:ind w:left="0"/>
        <w:jc w:val="both"/>
      </w:pPr>
      <w:r>
        <w:rPr>
          <w:rFonts w:ascii="Times New Roman"/>
          <w:b w:val="false"/>
          <w:i w:val="false"/>
          <w:color w:val="000000"/>
          <w:sz w:val="28"/>
        </w:rPr>
        <w:t>
      Дальнейшая работа по сокращению участия государства в экономике ведется в рамках реализации Комплексного плана приватизации на 2021-2025 годы, включающего 721 объект государственной собственности и квазигосударственного сектора.</w:t>
      </w:r>
    </w:p>
    <w:bookmarkEnd w:id="162"/>
    <w:bookmarkStart w:name="z177" w:id="163"/>
    <w:p>
      <w:pPr>
        <w:spacing w:after="0"/>
        <w:ind w:left="0"/>
        <w:jc w:val="both"/>
      </w:pPr>
      <w:r>
        <w:rPr>
          <w:rFonts w:ascii="Times New Roman"/>
          <w:b w:val="false"/>
          <w:i w:val="false"/>
          <w:color w:val="000000"/>
          <w:sz w:val="28"/>
        </w:rPr>
        <w:t>
      В целом данная мера отражена в Концепции по развитию государственного управления в Республике Казахстан до 2030 года, утвержденной Указом Президента Республики Казахстан от 26 февраля 2021 года № 522.</w:t>
      </w:r>
    </w:p>
    <w:bookmarkEnd w:id="163"/>
    <w:bookmarkStart w:name="z178" w:id="164"/>
    <w:p>
      <w:pPr>
        <w:spacing w:after="0"/>
        <w:ind w:left="0"/>
        <w:jc w:val="both"/>
      </w:pPr>
      <w:r>
        <w:rPr>
          <w:rFonts w:ascii="Times New Roman"/>
          <w:b w:val="false"/>
          <w:i w:val="false"/>
          <w:color w:val="000000"/>
          <w:sz w:val="28"/>
        </w:rPr>
        <w:t>
      Также, разработан План действий по реализации Концепции развития государственного управления в Республике Казахстан до 2030 года, утвержденный постановлением Правительства Республики Казахстан от 8 июля 2021 года № 470, где показатель доли участия государства в экономике планируется снизить до 14% (декабрь 2025 года).</w:t>
      </w:r>
    </w:p>
    <w:bookmarkEnd w:id="164"/>
    <w:bookmarkStart w:name="z179" w:id="165"/>
    <w:p>
      <w:pPr>
        <w:spacing w:after="0"/>
        <w:ind w:left="0"/>
        <w:jc w:val="both"/>
      </w:pPr>
      <w:r>
        <w:rPr>
          <w:rFonts w:ascii="Times New Roman"/>
          <w:b w:val="false"/>
          <w:i w:val="false"/>
          <w:color w:val="000000"/>
          <w:sz w:val="28"/>
        </w:rPr>
        <w:t>
      Несмотря на проводимую работу, на сегодняшний день сохраняются значительная доля участия государства в экономике и большое количество субъектов квазигосударственного сектора.</w:t>
      </w:r>
    </w:p>
    <w:bookmarkEnd w:id="165"/>
    <w:bookmarkStart w:name="z180" w:id="166"/>
    <w:p>
      <w:pPr>
        <w:spacing w:after="0"/>
        <w:ind w:left="0"/>
        <w:jc w:val="both"/>
      </w:pPr>
      <w:r>
        <w:rPr>
          <w:rFonts w:ascii="Times New Roman"/>
          <w:b w:val="false"/>
          <w:i w:val="false"/>
          <w:color w:val="000000"/>
          <w:sz w:val="28"/>
        </w:rPr>
        <w:t>
      Сегодня для субъектов квазигосударственного сектора законодательно определены три вида организационно-правовых форм: акционерное общество, товарищество с ограниченной ответственностью, республиканское и коммунальное предприятие.</w:t>
      </w:r>
    </w:p>
    <w:bookmarkEnd w:id="166"/>
    <w:bookmarkStart w:name="z181" w:id="167"/>
    <w:p>
      <w:pPr>
        <w:spacing w:after="0"/>
        <w:ind w:left="0"/>
        <w:jc w:val="both"/>
      </w:pPr>
      <w:r>
        <w:rPr>
          <w:rFonts w:ascii="Times New Roman"/>
          <w:b w:val="false"/>
          <w:i w:val="false"/>
          <w:color w:val="000000"/>
          <w:sz w:val="28"/>
        </w:rPr>
        <w:t>
      Так, в стране в 2021 году функционирует порядка 6,4 тыс. организаций.</w:t>
      </w:r>
    </w:p>
    <w:bookmarkEnd w:id="167"/>
    <w:bookmarkStart w:name="z182" w:id="168"/>
    <w:p>
      <w:pPr>
        <w:spacing w:after="0"/>
        <w:ind w:left="0"/>
        <w:jc w:val="both"/>
      </w:pPr>
      <w:r>
        <w:rPr>
          <w:rFonts w:ascii="Times New Roman"/>
          <w:b w:val="false"/>
          <w:i w:val="false"/>
          <w:color w:val="000000"/>
          <w:sz w:val="28"/>
        </w:rPr>
        <w:t>
      Значительная их часть (80 %) - социальные (сферы здравоохранения, образования, культуры, спорта), которые в основном функционируют как казенные предприятия (4,2 тыс.) и государственные предприятия на праве хозяйственного ведения (1,3 тыс.).</w:t>
      </w:r>
    </w:p>
    <w:bookmarkEnd w:id="168"/>
    <w:bookmarkStart w:name="z183" w:id="169"/>
    <w:p>
      <w:pPr>
        <w:spacing w:after="0"/>
        <w:ind w:left="0"/>
        <w:jc w:val="both"/>
      </w:pPr>
      <w:r>
        <w:rPr>
          <w:rFonts w:ascii="Times New Roman"/>
          <w:b w:val="false"/>
          <w:i w:val="false"/>
          <w:color w:val="000000"/>
          <w:sz w:val="28"/>
        </w:rPr>
        <w:t>
      При этом акционерных обществ - 300, товариществ с ограниченной ответственностью - 600 (с учетом организаций, входящих в группу компаний АО "Фонд национального благосостояния "Самрук-Казына" (далее - Фонд) и АО "Национальный управляющий холдинг "Байтерек").</w:t>
      </w:r>
    </w:p>
    <w:bookmarkEnd w:id="169"/>
    <w:bookmarkStart w:name="z184" w:id="170"/>
    <w:p>
      <w:pPr>
        <w:spacing w:after="0"/>
        <w:ind w:left="0"/>
        <w:jc w:val="both"/>
      </w:pPr>
      <w:r>
        <w:rPr>
          <w:rFonts w:ascii="Times New Roman"/>
          <w:b w:val="false"/>
          <w:i w:val="false"/>
          <w:color w:val="000000"/>
          <w:sz w:val="28"/>
        </w:rPr>
        <w:t>
      В целом принятые меры в реализацию Концепции бюджетной политики и Концепции НФРК позволяют концентрировать государственные финансы на реализации приоритетных направлений развития страны, повышать эффективность управления государственными финансами, улучшать качество использования бюджетных средств и активов государства.</w:t>
      </w:r>
    </w:p>
    <w:bookmarkEnd w:id="170"/>
    <w:bookmarkStart w:name="z185" w:id="171"/>
    <w:p>
      <w:pPr>
        <w:spacing w:after="0"/>
        <w:ind w:left="0"/>
        <w:jc w:val="both"/>
      </w:pPr>
      <w:r>
        <w:rPr>
          <w:rFonts w:ascii="Times New Roman"/>
          <w:b w:val="false"/>
          <w:i w:val="false"/>
          <w:color w:val="000000"/>
          <w:sz w:val="28"/>
        </w:rPr>
        <w:t>
      В результате реформ система управления государственными финансами в Казахстане продвинулась в направлении соблюдения принципов надлежащей международной практики, так:</w:t>
      </w:r>
    </w:p>
    <w:bookmarkEnd w:id="171"/>
    <w:bookmarkStart w:name="z186" w:id="172"/>
    <w:p>
      <w:pPr>
        <w:spacing w:after="0"/>
        <w:ind w:left="0"/>
        <w:jc w:val="both"/>
      </w:pPr>
      <w:r>
        <w:rPr>
          <w:rFonts w:ascii="Times New Roman"/>
          <w:b w:val="false"/>
          <w:i w:val="false"/>
          <w:color w:val="000000"/>
          <w:sz w:val="28"/>
        </w:rPr>
        <w:t>
      обеспечена взаимосвязь между стратегическим планированием и бюджетными расходами;</w:t>
      </w:r>
    </w:p>
    <w:bookmarkEnd w:id="172"/>
    <w:bookmarkStart w:name="z187" w:id="173"/>
    <w:p>
      <w:pPr>
        <w:spacing w:after="0"/>
        <w:ind w:left="0"/>
        <w:jc w:val="both"/>
      </w:pPr>
      <w:r>
        <w:rPr>
          <w:rFonts w:ascii="Times New Roman"/>
          <w:b w:val="false"/>
          <w:i w:val="false"/>
          <w:color w:val="000000"/>
          <w:sz w:val="28"/>
        </w:rPr>
        <w:t>
      определен набор фискальных правил, обеспечивающий долгосрочную устойчивость бюджета и необходимый буфер в случае будущих экономических потрясений;</w:t>
      </w:r>
    </w:p>
    <w:bookmarkEnd w:id="173"/>
    <w:bookmarkStart w:name="z188" w:id="174"/>
    <w:p>
      <w:pPr>
        <w:spacing w:after="0"/>
        <w:ind w:left="0"/>
        <w:jc w:val="both"/>
      </w:pPr>
      <w:r>
        <w:rPr>
          <w:rFonts w:ascii="Times New Roman"/>
          <w:b w:val="false"/>
          <w:i w:val="false"/>
          <w:color w:val="000000"/>
          <w:sz w:val="28"/>
        </w:rPr>
        <w:t>
      значительно улучшилась прозрачность бюджета и повысилось участие граждан путем внедрения онлайн-портала "Открытые бюджеты" и введения общественных советов;</w:t>
      </w:r>
    </w:p>
    <w:bookmarkEnd w:id="174"/>
    <w:bookmarkStart w:name="z189" w:id="175"/>
    <w:p>
      <w:pPr>
        <w:spacing w:after="0"/>
        <w:ind w:left="0"/>
        <w:jc w:val="both"/>
      </w:pPr>
      <w:r>
        <w:rPr>
          <w:rFonts w:ascii="Times New Roman"/>
          <w:b w:val="false"/>
          <w:i w:val="false"/>
          <w:color w:val="000000"/>
          <w:sz w:val="28"/>
        </w:rPr>
        <w:t>
      принят учет по методу начислений в соответствии с международными стандартами, что повышает качество и прозрачность государственных финансов.</w:t>
      </w:r>
    </w:p>
    <w:bookmarkEnd w:id="175"/>
    <w:bookmarkStart w:name="z190" w:id="176"/>
    <w:p>
      <w:pPr>
        <w:spacing w:after="0"/>
        <w:ind w:left="0"/>
        <w:jc w:val="left"/>
      </w:pPr>
      <w:r>
        <w:rPr>
          <w:rFonts w:ascii="Times New Roman"/>
          <w:b/>
          <w:i w:val="false"/>
          <w:color w:val="000000"/>
        </w:rPr>
        <w:t xml:space="preserve"> 2.2. Ключевые проблемы и обоснование необходимости разработки Концепции управления государственными финансами</w:t>
      </w:r>
    </w:p>
    <w:bookmarkEnd w:id="176"/>
    <w:bookmarkStart w:name="z191" w:id="177"/>
    <w:p>
      <w:pPr>
        <w:spacing w:after="0"/>
        <w:ind w:left="0"/>
        <w:jc w:val="both"/>
      </w:pPr>
      <w:r>
        <w:rPr>
          <w:rFonts w:ascii="Times New Roman"/>
          <w:b w:val="false"/>
          <w:i w:val="false"/>
          <w:color w:val="000000"/>
          <w:sz w:val="28"/>
        </w:rPr>
        <w:t>
      В целом установленные Правительством приоритеты в достижении ключевых национальных ориентиров соответствуют целям Стратегии Казахстана до 2050 года, Национальному плану развития Республики Казахстан до 2025 года.</w:t>
      </w:r>
    </w:p>
    <w:bookmarkEnd w:id="177"/>
    <w:bookmarkStart w:name="z192" w:id="178"/>
    <w:p>
      <w:pPr>
        <w:spacing w:after="0"/>
        <w:ind w:left="0"/>
        <w:jc w:val="both"/>
      </w:pPr>
      <w:r>
        <w:rPr>
          <w:rFonts w:ascii="Times New Roman"/>
          <w:b w:val="false"/>
          <w:i w:val="false"/>
          <w:color w:val="000000"/>
          <w:sz w:val="28"/>
        </w:rPr>
        <w:t>
      С учетом приоритетов развития на средне- и долгосрочный период целью бюджетной политики явилось обеспечение сбалансированности государственных финансов и бюджетной эффективности с дальнейшим укреплением устойчивости государственных финансов.</w:t>
      </w:r>
    </w:p>
    <w:bookmarkEnd w:id="178"/>
    <w:bookmarkStart w:name="z193" w:id="179"/>
    <w:p>
      <w:pPr>
        <w:spacing w:after="0"/>
        <w:ind w:left="0"/>
        <w:jc w:val="both"/>
      </w:pPr>
      <w:r>
        <w:rPr>
          <w:rFonts w:ascii="Times New Roman"/>
          <w:b w:val="false"/>
          <w:i w:val="false"/>
          <w:color w:val="000000"/>
          <w:sz w:val="28"/>
        </w:rPr>
        <w:t>
      Вместе с тем в формировании налогово-бюджетной политики сохраняются существенные проблемы и негативные тенденции, связанные с несоблюдением целевых ориентиров по параметрам государственных финансов, закрепленных в концепциях бюджетной политики и НФРК.</w:t>
      </w:r>
    </w:p>
    <w:bookmarkEnd w:id="179"/>
    <w:bookmarkStart w:name="z194" w:id="180"/>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Налогово-бюджетная политика</w:t>
      </w:r>
    </w:p>
    <w:bookmarkEnd w:id="180"/>
    <w:bookmarkStart w:name="z195" w:id="181"/>
    <w:p>
      <w:pPr>
        <w:spacing w:after="0"/>
        <w:ind w:left="0"/>
        <w:jc w:val="both"/>
      </w:pPr>
      <w:r>
        <w:rPr>
          <w:rFonts w:ascii="Times New Roman"/>
          <w:b w:val="false"/>
          <w:i w:val="false"/>
          <w:color w:val="000000"/>
          <w:sz w:val="28"/>
        </w:rPr>
        <w:t>
      В целях обеспечения сбалансированности государственного бюджета и Национального фонда налогово-бюджетная политика должна была формироваться исходя из постепенного снижения ненефтяного дефицита относительно ВВП до 6,0 % к 2025 году.</w:t>
      </w:r>
    </w:p>
    <w:bookmarkEnd w:id="181"/>
    <w:bookmarkStart w:name="z196" w:id="182"/>
    <w:p>
      <w:pPr>
        <w:spacing w:after="0"/>
        <w:ind w:left="0"/>
        <w:jc w:val="both"/>
      </w:pPr>
      <w:r>
        <w:rPr>
          <w:rFonts w:ascii="Times New Roman"/>
          <w:b w:val="false"/>
          <w:i w:val="false"/>
          <w:color w:val="000000"/>
          <w:sz w:val="28"/>
        </w:rPr>
        <w:t>
      Траектория исполнения индикатора в 2013-2021 годах характеризуется ее неустойчивостью с резким увеличением в 2017-2020 годах с 7,3 % в 2013 году до 12,4 % в 2017 году и 11,5 % в 2020 году.</w:t>
      </w:r>
    </w:p>
    <w:bookmarkEnd w:id="182"/>
    <w:bookmarkStart w:name="z197" w:id="183"/>
    <w:p>
      <w:pPr>
        <w:spacing w:after="0"/>
        <w:ind w:left="0"/>
        <w:jc w:val="left"/>
      </w:pPr>
      <w:r>
        <w:rPr>
          <w:rFonts w:ascii="Times New Roman"/>
          <w:b/>
          <w:i w:val="false"/>
          <w:color w:val="000000"/>
        </w:rPr>
        <w:t xml:space="preserve"> Динамика целевого значения ненефтяного дефицита Национального</w:t>
      </w:r>
      <w:r>
        <w:br/>
      </w:r>
      <w:r>
        <w:rPr>
          <w:rFonts w:ascii="Times New Roman"/>
          <w:b/>
          <w:i w:val="false"/>
          <w:color w:val="000000"/>
        </w:rPr>
        <w:t>плана развития РК до 2025 года и государственного бюджета, в % к ВВП</w:t>
      </w:r>
    </w:p>
    <w:bookmarkEnd w:id="183"/>
    <w:bookmarkStart w:name="z198"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5"/>
    <w:p>
      <w:pPr>
        <w:spacing w:after="0"/>
        <w:ind w:left="0"/>
        <w:jc w:val="both"/>
      </w:pPr>
      <w:r>
        <w:rPr>
          <w:rFonts w:ascii="Times New Roman"/>
          <w:b w:val="false"/>
          <w:i w:val="false"/>
          <w:color w:val="000000"/>
          <w:sz w:val="28"/>
        </w:rPr>
        <w:t>
      Источник: статистический бюллетень Министерства финансов Республики Казахстан, Информационно-правовая система нормативных правовых актов Республики Казахстан</w:t>
      </w:r>
    </w:p>
    <w:bookmarkEnd w:id="185"/>
    <w:bookmarkStart w:name="z200" w:id="186"/>
    <w:p>
      <w:pPr>
        <w:spacing w:after="0"/>
        <w:ind w:left="0"/>
        <w:jc w:val="both"/>
      </w:pPr>
      <w:r>
        <w:rPr>
          <w:rFonts w:ascii="Times New Roman"/>
          <w:b w:val="false"/>
          <w:i w:val="false"/>
          <w:color w:val="000000"/>
          <w:sz w:val="28"/>
        </w:rPr>
        <w:t>
      Неустойчивость среднесрочных целевых ориентиров указывает на наличие существенных рисков для сохранения налогово-бюджетной стабильности и, в целом, для достижения показателей Национального плана развития Республики Казахстана до 2025 года в заявленных значениях.</w:t>
      </w:r>
    </w:p>
    <w:bookmarkEnd w:id="186"/>
    <w:bookmarkStart w:name="z201" w:id="187"/>
    <w:p>
      <w:pPr>
        <w:spacing w:after="0"/>
        <w:ind w:left="0"/>
        <w:jc w:val="both"/>
      </w:pPr>
      <w:r>
        <w:rPr>
          <w:rFonts w:ascii="Times New Roman"/>
          <w:b w:val="false"/>
          <w:i w:val="false"/>
          <w:color w:val="000000"/>
          <w:sz w:val="28"/>
        </w:rPr>
        <w:t>
      Недостаточность целенаправленной работы по управлению фискальными рисками с определением мер, позволяющих финансировать текущие расходы, а также обеспечить финансированием долгосрочные приоритеты, не прибегая к существенной корректировке сальдо доходов и расходов бюджета и наращиванию долговых обязательств, привела к рискам разбалансировки государственных финансов.</w:t>
      </w:r>
    </w:p>
    <w:bookmarkEnd w:id="187"/>
    <w:bookmarkStart w:name="z202" w:id="188"/>
    <w:p>
      <w:pPr>
        <w:spacing w:after="0"/>
        <w:ind w:left="0"/>
        <w:jc w:val="both"/>
      </w:pPr>
      <w:r>
        <w:rPr>
          <w:rFonts w:ascii="Times New Roman"/>
          <w:b w:val="false"/>
          <w:i w:val="false"/>
          <w:color w:val="000000"/>
          <w:sz w:val="28"/>
        </w:rPr>
        <w:t>
      Увеличение объема государственных расходов не сопровождалось соответствующей налогооблагаемой базой и полнотой доходной части бюджета.</w:t>
      </w:r>
    </w:p>
    <w:bookmarkEnd w:id="188"/>
    <w:bookmarkStart w:name="z203" w:id="189"/>
    <w:p>
      <w:pPr>
        <w:spacing w:after="0"/>
        <w:ind w:left="0"/>
        <w:jc w:val="both"/>
      </w:pPr>
      <w:r>
        <w:rPr>
          <w:rFonts w:ascii="Times New Roman"/>
          <w:b w:val="false"/>
          <w:i w:val="false"/>
          <w:color w:val="000000"/>
          <w:sz w:val="28"/>
        </w:rPr>
        <w:t>
      За период с 2013 по 2021 годы доходы государственного бюджета без учета трансфертов в среднем составили 14 % к ВВП, тогда как расходы государственного бюджета имели устойчивую динамику роста с 20 % к ВВП в 2013 году до 23-25 % к ВВП в отдельных годах.</w:t>
      </w:r>
    </w:p>
    <w:bookmarkEnd w:id="189"/>
    <w:bookmarkStart w:name="z204" w:id="190"/>
    <w:p>
      <w:pPr>
        <w:spacing w:after="0"/>
        <w:ind w:left="0"/>
        <w:jc w:val="both"/>
      </w:pPr>
      <w:r>
        <w:rPr>
          <w:rFonts w:ascii="Times New Roman"/>
          <w:b w:val="false"/>
          <w:i w:val="false"/>
          <w:color w:val="000000"/>
          <w:sz w:val="28"/>
        </w:rPr>
        <w:t>
      При этом в общем объеме расходов государственного бюджета доля бюджета развития сократилась с 18,9 % в 2013 году до 11,6 % в 2021 году.</w:t>
      </w:r>
    </w:p>
    <w:bookmarkEnd w:id="190"/>
    <w:bookmarkStart w:name="z205" w:id="191"/>
    <w:p>
      <w:pPr>
        <w:spacing w:after="0"/>
        <w:ind w:left="0"/>
        <w:jc w:val="both"/>
      </w:pPr>
      <w:r>
        <w:rPr>
          <w:rFonts w:ascii="Times New Roman"/>
          <w:b w:val="false"/>
          <w:i w:val="false"/>
          <w:color w:val="000000"/>
          <w:sz w:val="28"/>
        </w:rPr>
        <w:t>
      Опережающие темпы роста расходов над доходами способствовали большему изъятию средств из НФРК и увеличению фискального дефицита бюджета.</w:t>
      </w:r>
    </w:p>
    <w:bookmarkEnd w:id="191"/>
    <w:bookmarkStart w:name="z206" w:id="192"/>
    <w:p>
      <w:pPr>
        <w:spacing w:after="0"/>
        <w:ind w:left="0"/>
        <w:jc w:val="left"/>
      </w:pPr>
      <w:r>
        <w:rPr>
          <w:rFonts w:ascii="Times New Roman"/>
          <w:b/>
          <w:i w:val="false"/>
          <w:color w:val="000000"/>
        </w:rPr>
        <w:t xml:space="preserve"> Параметры государственного бюджета с 2013 по 2021 годы</w:t>
      </w:r>
    </w:p>
    <w:bookmarkEnd w:id="192"/>
    <w:bookmarkStart w:name="z207"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5092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95"/>
    <w:p>
      <w:pPr>
        <w:spacing w:after="0"/>
        <w:ind w:left="0"/>
        <w:jc w:val="both"/>
      </w:pPr>
      <w:r>
        <w:rPr>
          <w:rFonts w:ascii="Times New Roman"/>
          <w:b w:val="false"/>
          <w:i w:val="false"/>
          <w:color w:val="000000"/>
          <w:sz w:val="28"/>
        </w:rPr>
        <w:t>
      Источник: статистический бюллетень Министерства финансов Республики Казахстан, расчеты Министерства национальной экономики Республики Казахстан.</w:t>
      </w:r>
    </w:p>
    <w:bookmarkEnd w:id="195"/>
    <w:bookmarkStart w:name="z210" w:id="196"/>
    <w:p>
      <w:pPr>
        <w:spacing w:after="0"/>
        <w:ind w:left="0"/>
        <w:jc w:val="both"/>
      </w:pPr>
      <w:r>
        <w:rPr>
          <w:rFonts w:ascii="Times New Roman"/>
          <w:b w:val="false"/>
          <w:i w:val="false"/>
          <w:color w:val="000000"/>
          <w:sz w:val="28"/>
        </w:rPr>
        <w:t>
      В результате поступления трансфертов из НФРК в республиканский бюджет имели тенденцию постепенного роста с 3,9 % к ВВП в 2013 году до 8,1 % к ВВП в 2017 году и до 6,8-5,5 % к ВВП в 2020-2021 годах.</w:t>
      </w:r>
    </w:p>
    <w:bookmarkEnd w:id="196"/>
    <w:bookmarkStart w:name="z211" w:id="197"/>
    <w:p>
      <w:pPr>
        <w:spacing w:after="0"/>
        <w:ind w:left="0"/>
        <w:jc w:val="both"/>
      </w:pPr>
      <w:r>
        <w:rPr>
          <w:rFonts w:ascii="Times New Roman"/>
          <w:b w:val="false"/>
          <w:i w:val="false"/>
          <w:color w:val="000000"/>
          <w:sz w:val="28"/>
        </w:rPr>
        <w:t>
      Из-за возросшего использования средств НФРК и снижения мировых цен на нефть с 2015 года впервые наметилась тенденция сокращения валютных активов Национального фонда, которые по итогам 2015 года составили 63,4 млрд долларов США (70,8 млрд долларов США в 2013 году) и достигли 55,3 млрд долларов США в 2021 году.</w:t>
      </w:r>
    </w:p>
    <w:bookmarkEnd w:id="197"/>
    <w:bookmarkStart w:name="z212" w:id="198"/>
    <w:p>
      <w:pPr>
        <w:spacing w:after="0"/>
        <w:ind w:left="0"/>
        <w:jc w:val="both"/>
      </w:pPr>
      <w:r>
        <w:rPr>
          <w:rFonts w:ascii="Times New Roman"/>
          <w:b w:val="false"/>
          <w:i w:val="false"/>
          <w:color w:val="000000"/>
          <w:sz w:val="28"/>
        </w:rPr>
        <w:t>
      В результате в параметрах НФРК на 2022-2024 годы значение целевого показателя по неснижаемому остатку средств превысило ограничение в размере не менее 30% к ВВП.</w:t>
      </w:r>
    </w:p>
    <w:bookmarkEnd w:id="198"/>
    <w:bookmarkStart w:name="z213" w:id="199"/>
    <w:p>
      <w:pPr>
        <w:spacing w:after="0"/>
        <w:ind w:left="0"/>
        <w:jc w:val="both"/>
      </w:pPr>
      <w:r>
        <w:rPr>
          <w:rFonts w:ascii="Times New Roman"/>
          <w:b w:val="false"/>
          <w:i w:val="false"/>
          <w:color w:val="000000"/>
          <w:sz w:val="28"/>
        </w:rPr>
        <w:t>
      Этому также способствовала стимулирующая позиция налогово-бюджетной политики, принятая в 2014 году. Программы поддержки экономики финансировались за счет исключительного использования средств НФРК и дополнительного внешнего заимствования.</w:t>
      </w:r>
    </w:p>
    <w:bookmarkEnd w:id="199"/>
    <w:bookmarkStart w:name="z214" w:id="200"/>
    <w:p>
      <w:pPr>
        <w:spacing w:after="0"/>
        <w:ind w:left="0"/>
        <w:jc w:val="both"/>
      </w:pPr>
      <w:r>
        <w:rPr>
          <w:rFonts w:ascii="Times New Roman"/>
          <w:b w:val="false"/>
          <w:i w:val="false"/>
          <w:color w:val="000000"/>
          <w:sz w:val="28"/>
        </w:rPr>
        <w:t>
      Последствия пандемии COVID-19 оказали сильное влияние на экономику, аналогично масштабам кризиса 2014-2015 годов. Из-за спада экономической активности уменьшились ненефтяные налоговые поступления в бюджет.</w:t>
      </w:r>
    </w:p>
    <w:bookmarkEnd w:id="200"/>
    <w:bookmarkStart w:name="z215" w:id="201"/>
    <w:p>
      <w:pPr>
        <w:spacing w:after="0"/>
        <w:ind w:left="0"/>
        <w:jc w:val="both"/>
      </w:pPr>
      <w:r>
        <w:rPr>
          <w:rFonts w:ascii="Times New Roman"/>
          <w:b w:val="false"/>
          <w:i w:val="false"/>
          <w:color w:val="000000"/>
          <w:sz w:val="28"/>
        </w:rPr>
        <w:t>
      Для обеспечения мер по поддержке экономики и выполнения социальных обязательств в полном объеме в рамках антикризисной программы Правительства на 2020 год в республиканский бюджет привлечены дополнительные трансферты из НФРК.</w:t>
      </w:r>
    </w:p>
    <w:bookmarkEnd w:id="201"/>
    <w:bookmarkStart w:name="z216" w:id="202"/>
    <w:p>
      <w:pPr>
        <w:spacing w:after="0"/>
        <w:ind w:left="0"/>
        <w:jc w:val="both"/>
      </w:pPr>
      <w:r>
        <w:rPr>
          <w:rFonts w:ascii="Times New Roman"/>
          <w:b w:val="false"/>
          <w:i w:val="false"/>
          <w:color w:val="000000"/>
          <w:sz w:val="28"/>
        </w:rPr>
        <w:t>
      Средства НФРК были направлены на усиление социальной поддержки граждан, в том числе на повышение доходов и поддержку малообеспеченных слоев населения, решение жилищных вопросов граждан с низкими доходами.</w:t>
      </w:r>
    </w:p>
    <w:bookmarkEnd w:id="202"/>
    <w:bookmarkStart w:name="z217" w:id="203"/>
    <w:p>
      <w:pPr>
        <w:spacing w:after="0"/>
        <w:ind w:left="0"/>
        <w:jc w:val="both"/>
      </w:pPr>
      <w:r>
        <w:rPr>
          <w:rFonts w:ascii="Times New Roman"/>
          <w:b w:val="false"/>
          <w:i w:val="false"/>
          <w:color w:val="000000"/>
          <w:sz w:val="28"/>
        </w:rPr>
        <w:t>
      Традиционное балансирование параметров государственного бюджета за счет дополнительных изъятий из НФРК и увеличения дефицита бюджета привело к нарушению установленных целевых значений по дефициту и ненефтяному дефициту, государственному долгу и долговой нагрузке.</w:t>
      </w:r>
    </w:p>
    <w:bookmarkEnd w:id="203"/>
    <w:bookmarkStart w:name="z218" w:id="204"/>
    <w:p>
      <w:pPr>
        <w:spacing w:after="0"/>
        <w:ind w:left="0"/>
        <w:jc w:val="both"/>
      </w:pPr>
      <w:r>
        <w:rPr>
          <w:rFonts w:ascii="Times New Roman"/>
          <w:b w:val="false"/>
          <w:i w:val="false"/>
          <w:color w:val="000000"/>
          <w:sz w:val="28"/>
        </w:rPr>
        <w:t>
      Минимальное значение дефицита бюджета обеспечено в 2013-2019 годах на уровне 1,9-1,3 % к ВВП, в 2020 - 2021 годах его значение составило 4-3,1 % к ВВП, соответственно.</w:t>
      </w:r>
    </w:p>
    <w:bookmarkEnd w:id="204"/>
    <w:bookmarkStart w:name="z219" w:id="205"/>
    <w:p>
      <w:pPr>
        <w:spacing w:after="0"/>
        <w:ind w:left="0"/>
        <w:jc w:val="both"/>
      </w:pPr>
      <w:r>
        <w:rPr>
          <w:rFonts w:ascii="Times New Roman"/>
          <w:b w:val="false"/>
          <w:i w:val="false"/>
          <w:color w:val="000000"/>
          <w:sz w:val="28"/>
        </w:rPr>
        <w:t>
      Необходимость достижения приоритетов и целей, определенных в документах стратегического планирования, качественного рывка в социально- экономическом развитии в условиях ограниченности бюджетных ресурсов увеличивает актуальность разработки и реализации системы мер по совершенствованию бюджетной политики страны, в том числе пересмотра существующей бюджетной модели на основе построения системы новых бюджетных правил.</w:t>
      </w:r>
    </w:p>
    <w:bookmarkEnd w:id="205"/>
    <w:bookmarkStart w:name="z220" w:id="206"/>
    <w:p>
      <w:pPr>
        <w:spacing w:after="0"/>
        <w:ind w:left="0"/>
        <w:jc w:val="both"/>
      </w:pPr>
      <w:r>
        <w:rPr>
          <w:rFonts w:ascii="Times New Roman"/>
          <w:b w:val="false"/>
          <w:i w:val="false"/>
          <w:color w:val="000000"/>
          <w:sz w:val="28"/>
        </w:rPr>
        <w:t>
      Несмотря на системное проведение реформ на протяжении последних нескольких лет и достаточно выстроенную систему бюджетных процедур и процессов в бюджетной сфере остается ряд нерешенных вопросов.</w:t>
      </w:r>
    </w:p>
    <w:bookmarkEnd w:id="206"/>
    <w:bookmarkStart w:name="z221" w:id="207"/>
    <w:p>
      <w:pPr>
        <w:spacing w:after="0"/>
        <w:ind w:left="0"/>
        <w:jc w:val="both"/>
      </w:pPr>
      <w:r>
        <w:rPr>
          <w:rFonts w:ascii="Times New Roman"/>
          <w:b w:val="false"/>
          <w:i w:val="false"/>
          <w:color w:val="000000"/>
          <w:sz w:val="28"/>
        </w:rPr>
        <w:t>
      Сохранение системных недостатков в планировании нивелируют проводимые реформы по трансформации системы стратегического и бюджетного планирования.</w:t>
      </w:r>
    </w:p>
    <w:bookmarkEnd w:id="207"/>
    <w:bookmarkStart w:name="z222" w:id="208"/>
    <w:p>
      <w:pPr>
        <w:spacing w:after="0"/>
        <w:ind w:left="0"/>
        <w:jc w:val="both"/>
      </w:pPr>
      <w:r>
        <w:rPr>
          <w:rFonts w:ascii="Times New Roman"/>
          <w:b w:val="false"/>
          <w:i w:val="false"/>
          <w:color w:val="000000"/>
          <w:sz w:val="28"/>
        </w:rPr>
        <w:t>
      В ходе реализации мероприятий по внедрению бюджетирования, ориентированного на результат, были выявлены проблемы с определением и приоритизацией целей и результатов деятельности и несоблюдением их иерархии, отсутствием квалифицированных кадров, умением структурированно работать с документами Системы государственного планирования, качественной разработкой собственных документов и их декомпозицией.</w:t>
      </w:r>
    </w:p>
    <w:bookmarkEnd w:id="208"/>
    <w:bookmarkStart w:name="z223" w:id="209"/>
    <w:p>
      <w:pPr>
        <w:spacing w:after="0"/>
        <w:ind w:left="0"/>
        <w:jc w:val="both"/>
      </w:pPr>
      <w:r>
        <w:rPr>
          <w:rFonts w:ascii="Times New Roman"/>
          <w:b w:val="false"/>
          <w:i w:val="false"/>
          <w:color w:val="000000"/>
          <w:sz w:val="28"/>
        </w:rPr>
        <w:t>
      Не на должном уровне организована система по развитию человеческих ресурсов в сфере стратегического и бюджетного планирования, обеспечивающих планирование, исполнение, достижение результатов бюджетных программ, ведение учета и отчетности государственных средств согласно требованиям Бюджетного кодекса.</w:t>
      </w:r>
    </w:p>
    <w:bookmarkEnd w:id="209"/>
    <w:bookmarkStart w:name="z224" w:id="210"/>
    <w:p>
      <w:pPr>
        <w:spacing w:after="0"/>
        <w:ind w:left="0"/>
        <w:jc w:val="both"/>
      </w:pPr>
      <w:r>
        <w:rPr>
          <w:rFonts w:ascii="Times New Roman"/>
          <w:b w:val="false"/>
          <w:i w:val="false"/>
          <w:color w:val="000000"/>
          <w:sz w:val="28"/>
        </w:rPr>
        <w:t xml:space="preserve">
      </w:t>
      </w:r>
      <w:r>
        <w:rPr>
          <w:rFonts w:ascii="Times New Roman"/>
          <w:b/>
          <w:i w:val="false"/>
          <w:color w:val="000000"/>
          <w:sz w:val="28"/>
        </w:rPr>
        <w:t>Открытость и подотчетность бюджетного процесса</w:t>
      </w:r>
    </w:p>
    <w:bookmarkEnd w:id="210"/>
    <w:bookmarkStart w:name="z225" w:id="211"/>
    <w:p>
      <w:pPr>
        <w:spacing w:after="0"/>
        <w:ind w:left="0"/>
        <w:jc w:val="both"/>
      </w:pPr>
      <w:r>
        <w:rPr>
          <w:rFonts w:ascii="Times New Roman"/>
          <w:b w:val="false"/>
          <w:i w:val="false"/>
          <w:color w:val="000000"/>
          <w:sz w:val="28"/>
        </w:rPr>
        <w:t>
      Немаловажной остается проблема излишней бюрократизации процессов, незавершенности автоматизации и интеграции процессов стратегического и бюджетного планирования.</w:t>
      </w:r>
    </w:p>
    <w:bookmarkEnd w:id="211"/>
    <w:bookmarkStart w:name="z226" w:id="212"/>
    <w:p>
      <w:pPr>
        <w:spacing w:after="0"/>
        <w:ind w:left="0"/>
        <w:jc w:val="both"/>
      </w:pPr>
      <w:r>
        <w:rPr>
          <w:rFonts w:ascii="Times New Roman"/>
          <w:b w:val="false"/>
          <w:i w:val="false"/>
          <w:color w:val="000000"/>
          <w:sz w:val="28"/>
        </w:rPr>
        <w:t>
      В 2016 году в рамках реализации норм Закона Республики Казахстан от 16 ноября 2015 года № 401-V ЗРК "О доступе к информации" внедрен онлайн-портал "Открытые бюджеты" как компонент веб-портала "электронного правительства",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а также публичное обсуждение проектов бюджетных программ и отчетов о реализации бюджетных программ.</w:t>
      </w:r>
    </w:p>
    <w:bookmarkEnd w:id="212"/>
    <w:bookmarkStart w:name="z227" w:id="213"/>
    <w:p>
      <w:pPr>
        <w:spacing w:after="0"/>
        <w:ind w:left="0"/>
        <w:jc w:val="both"/>
      </w:pPr>
      <w:r>
        <w:rPr>
          <w:rFonts w:ascii="Times New Roman"/>
          <w:b w:val="false"/>
          <w:i w:val="false"/>
          <w:color w:val="000000"/>
          <w:sz w:val="28"/>
        </w:rPr>
        <w:t>
      Однако на сегодняшний день портал не решает поставленные задачи по причине несистематизированности данных, отсутствия информации для сравнения, сжатости сроков для обсуждения, низкого качества и нарушения сроков размещения информации.</w:t>
      </w:r>
    </w:p>
    <w:bookmarkEnd w:id="213"/>
    <w:bookmarkStart w:name="z228" w:id="214"/>
    <w:p>
      <w:pPr>
        <w:spacing w:after="0"/>
        <w:ind w:left="0"/>
        <w:jc w:val="both"/>
      </w:pPr>
      <w:r>
        <w:rPr>
          <w:rFonts w:ascii="Times New Roman"/>
          <w:b w:val="false"/>
          <w:i w:val="false"/>
          <w:color w:val="000000"/>
          <w:sz w:val="28"/>
        </w:rPr>
        <w:t>
      В этой связи существует объективная необходимость в проведении всестороннего анализа и выработки эффективных рекомендаций по совершенствованию портала "Открытые бюджеты", направленных на обеспечение прозрачности и подотчетности бюджетных средств.</w:t>
      </w:r>
    </w:p>
    <w:bookmarkEnd w:id="214"/>
    <w:bookmarkStart w:name="z229" w:id="215"/>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Бюджетные инвестиции</w:t>
      </w:r>
    </w:p>
    <w:bookmarkEnd w:id="215"/>
    <w:bookmarkStart w:name="z230" w:id="216"/>
    <w:p>
      <w:pPr>
        <w:spacing w:after="0"/>
        <w:ind w:left="0"/>
        <w:jc w:val="both"/>
      </w:pPr>
      <w:r>
        <w:rPr>
          <w:rFonts w:ascii="Times New Roman"/>
          <w:b w:val="false"/>
          <w:i w:val="false"/>
          <w:color w:val="000000"/>
          <w:sz w:val="28"/>
        </w:rPr>
        <w:t>
      Снижение качества отбора бюджетных инвестиционных проектов отражается на приоритетах бюджета развития расходов республиканского бюджета.</w:t>
      </w:r>
    </w:p>
    <w:bookmarkEnd w:id="216"/>
    <w:bookmarkStart w:name="z231" w:id="217"/>
    <w:p>
      <w:pPr>
        <w:spacing w:after="0"/>
        <w:ind w:left="0"/>
        <w:jc w:val="both"/>
      </w:pPr>
      <w:r>
        <w:rPr>
          <w:rFonts w:ascii="Times New Roman"/>
          <w:b w:val="false"/>
          <w:i w:val="false"/>
          <w:color w:val="000000"/>
          <w:sz w:val="28"/>
        </w:rPr>
        <w:t>
      Кроме того, отсутствует единая база данных по бюджетным инвестициям и проектам ГЧП для учета и мониторинга планируемых и реализуемых проектов с накоплением и сохранением их исторических данных, начиная с этапа их планирования до фактического ввода в эксплуатацию.</w:t>
      </w:r>
    </w:p>
    <w:bookmarkEnd w:id="217"/>
    <w:bookmarkStart w:name="z232" w:id="218"/>
    <w:p>
      <w:pPr>
        <w:spacing w:after="0"/>
        <w:ind w:left="0"/>
        <w:jc w:val="both"/>
      </w:pPr>
      <w:r>
        <w:rPr>
          <w:rFonts w:ascii="Times New Roman"/>
          <w:b w:val="false"/>
          <w:i w:val="false"/>
          <w:color w:val="000000"/>
          <w:sz w:val="28"/>
        </w:rPr>
        <w:t>
      Низкое качество разработки ПСД, а также недостаточный учет работ или использование устаревших данных и технологий, применение необоснованных расчетов при составлении сметы строительных работ приводят к корректировке ПСД, продлению нормативных сроков строительства, удорожанию проекта и росту неэффективных затрат в целом.</w:t>
      </w:r>
    </w:p>
    <w:bookmarkEnd w:id="218"/>
    <w:bookmarkStart w:name="z233" w:id="219"/>
    <w:p>
      <w:pPr>
        <w:spacing w:after="0"/>
        <w:ind w:left="0"/>
        <w:jc w:val="both"/>
      </w:pPr>
      <w:r>
        <w:rPr>
          <w:rFonts w:ascii="Times New Roman"/>
          <w:b w:val="false"/>
          <w:i w:val="false"/>
          <w:color w:val="000000"/>
          <w:sz w:val="28"/>
        </w:rPr>
        <w:t>
      Реализуемые проекты ГЧП не рассматриваются с призмы их бюджетной эффективности и управления рисками, связанными с государственными финансами, так как при рассмотрении основной акцент делается на соответствие обязательств по ГЧП к установленным лимитам государственных обязательств по проектам ГЧП. Вместе с тем в последние годы в связи с увеличением количества реализуемых проектов ГЧП имеется риск несоблюдения установленных лимитов государственных обязательств.</w:t>
      </w:r>
    </w:p>
    <w:bookmarkEnd w:id="219"/>
    <w:bookmarkStart w:name="z234" w:id="220"/>
    <w:p>
      <w:pPr>
        <w:spacing w:after="0"/>
        <w:ind w:left="0"/>
        <w:jc w:val="both"/>
      </w:pPr>
      <w:r>
        <w:rPr>
          <w:rFonts w:ascii="Times New Roman"/>
          <w:b w:val="false"/>
          <w:i w:val="false"/>
          <w:color w:val="000000"/>
          <w:sz w:val="28"/>
        </w:rPr>
        <w:t xml:space="preserve">
      </w:t>
      </w:r>
      <w:r>
        <w:rPr>
          <w:rFonts w:ascii="Times New Roman"/>
          <w:b/>
          <w:i w:val="false"/>
          <w:color w:val="000000"/>
          <w:sz w:val="28"/>
        </w:rPr>
        <w:t>Межбюджетные отношения</w:t>
      </w:r>
    </w:p>
    <w:bookmarkEnd w:id="220"/>
    <w:bookmarkStart w:name="z235" w:id="221"/>
    <w:p>
      <w:pPr>
        <w:spacing w:after="0"/>
        <w:ind w:left="0"/>
        <w:jc w:val="both"/>
      </w:pPr>
      <w:r>
        <w:rPr>
          <w:rFonts w:ascii="Times New Roman"/>
          <w:b w:val="false"/>
          <w:i w:val="false"/>
          <w:color w:val="000000"/>
          <w:sz w:val="28"/>
        </w:rPr>
        <w:t>
      В системе межбюджетных отношений сохраняются региональные различия между регионами.</w:t>
      </w:r>
    </w:p>
    <w:bookmarkEnd w:id="221"/>
    <w:bookmarkStart w:name="z236" w:id="222"/>
    <w:p>
      <w:pPr>
        <w:spacing w:after="0"/>
        <w:ind w:left="0"/>
        <w:jc w:val="both"/>
      </w:pPr>
      <w:r>
        <w:rPr>
          <w:rFonts w:ascii="Times New Roman"/>
          <w:b w:val="false"/>
          <w:i w:val="false"/>
          <w:color w:val="000000"/>
          <w:sz w:val="28"/>
        </w:rPr>
        <w:t>
      В настоящее время, кроме четырех регионов: Атырауской, Мангистауской областей и городов Алматы и Нур-Султана, все остальные тринадцать регионов относятся к субвенционным.</w:t>
      </w:r>
    </w:p>
    <w:bookmarkEnd w:id="222"/>
    <w:bookmarkStart w:name="z237" w:id="223"/>
    <w:p>
      <w:pPr>
        <w:spacing w:after="0"/>
        <w:ind w:left="0"/>
        <w:jc w:val="both"/>
      </w:pPr>
      <w:r>
        <w:rPr>
          <w:rFonts w:ascii="Times New Roman"/>
          <w:b w:val="false"/>
          <w:i w:val="false"/>
          <w:color w:val="000000"/>
          <w:sz w:val="28"/>
        </w:rPr>
        <w:t>
      Общая сумма бюджетных изъятий, в 2013 году составлявшая 121,1 млрд тенге, на 2022 год составляет 490,4 млрд тенге.</w:t>
      </w:r>
    </w:p>
    <w:bookmarkEnd w:id="223"/>
    <w:bookmarkStart w:name="z238" w:id="224"/>
    <w:p>
      <w:pPr>
        <w:spacing w:after="0"/>
        <w:ind w:left="0"/>
        <w:jc w:val="both"/>
      </w:pPr>
      <w:r>
        <w:rPr>
          <w:rFonts w:ascii="Times New Roman"/>
          <w:b w:val="false"/>
          <w:i w:val="false"/>
          <w:color w:val="000000"/>
          <w:sz w:val="28"/>
        </w:rPr>
        <w:t>
      Общая сумма бюджетных субвенций, в 2013 году составлявшая 865,8 млрд тенге, на 2022 год составляет 2 124,7 млрд тенге.</w:t>
      </w:r>
    </w:p>
    <w:bookmarkEnd w:id="224"/>
    <w:bookmarkStart w:name="z239" w:id="225"/>
    <w:p>
      <w:pPr>
        <w:spacing w:after="0"/>
        <w:ind w:left="0"/>
        <w:jc w:val="both"/>
      </w:pPr>
      <w:r>
        <w:rPr>
          <w:rFonts w:ascii="Times New Roman"/>
          <w:b w:val="false"/>
          <w:i w:val="false"/>
          <w:color w:val="000000"/>
          <w:sz w:val="28"/>
        </w:rPr>
        <w:t>
      За период 2013-2022 годы увеличение объема субвенций намного опережает рост бюджетных изъятий. Так, если за этот период объем бюджетных изъятий вырос в 3 раза, то субвенций - почти в 12 раз.</w:t>
      </w:r>
    </w:p>
    <w:bookmarkEnd w:id="225"/>
    <w:bookmarkStart w:name="z240" w:id="226"/>
    <w:p>
      <w:pPr>
        <w:spacing w:after="0"/>
        <w:ind w:left="0"/>
        <w:jc w:val="both"/>
      </w:pPr>
      <w:r>
        <w:rPr>
          <w:rFonts w:ascii="Times New Roman"/>
          <w:b w:val="false"/>
          <w:i w:val="false"/>
          <w:color w:val="000000"/>
          <w:sz w:val="28"/>
        </w:rPr>
        <w:t>
      Кроме того, сохраняется высокая зависимость местных бюджетов от средств, выделяемых из республиканского бюджета. Доля зависимости местного бюджета от средств, выделяемых из республиканского бюджета, за период 2013 - 2021 годы в среднем составила 57 %.</w:t>
      </w:r>
    </w:p>
    <w:bookmarkEnd w:id="226"/>
    <w:bookmarkStart w:name="z241" w:id="227"/>
    <w:p>
      <w:pPr>
        <w:spacing w:after="0"/>
        <w:ind w:left="0"/>
        <w:jc w:val="both"/>
      </w:pPr>
      <w:r>
        <w:rPr>
          <w:rFonts w:ascii="Times New Roman"/>
          <w:b w:val="false"/>
          <w:i w:val="false"/>
          <w:color w:val="000000"/>
          <w:sz w:val="28"/>
        </w:rPr>
        <w:t>
      Объем выделяемых из республиканского бюджета трансфертов регионам растет. Так, в 2013 году объем целевых текущих трансфертов составил более 500,0 млрд тенге, в 2022 году их объем вырос уже до 1 895,3 млрд тенге.</w:t>
      </w:r>
    </w:p>
    <w:bookmarkEnd w:id="227"/>
    <w:bookmarkStart w:name="z242" w:id="228"/>
    <w:p>
      <w:pPr>
        <w:spacing w:after="0"/>
        <w:ind w:left="0"/>
        <w:jc w:val="both"/>
      </w:pPr>
      <w:r>
        <w:rPr>
          <w:rFonts w:ascii="Times New Roman"/>
          <w:b w:val="false"/>
          <w:i w:val="false"/>
          <w:color w:val="000000"/>
          <w:sz w:val="28"/>
        </w:rPr>
        <w:t>
      Увеличение целевых текущих трансфертов регионам в основном связано с необходимостью компенсации дополнительных расходов МИО, вытекающих из принятия новых нормативных правовых актов.</w:t>
      </w:r>
    </w:p>
    <w:bookmarkEnd w:id="228"/>
    <w:bookmarkStart w:name="z243" w:id="229"/>
    <w:p>
      <w:pPr>
        <w:spacing w:after="0"/>
        <w:ind w:left="0"/>
        <w:jc w:val="both"/>
      </w:pPr>
      <w:r>
        <w:rPr>
          <w:rFonts w:ascii="Times New Roman"/>
          <w:b w:val="false"/>
          <w:i w:val="false"/>
          <w:color w:val="000000"/>
          <w:sz w:val="28"/>
        </w:rPr>
        <w:t>
      Кроме того, за счет целевых трансфертов из республиканского бюджета стали финансироваться объекты местного уровня, в том числе небольшой стоимости и сфер, которые законодательно относятся к компетенции МИО, такие как финансирование строительства врачебных амбулаторий, сельских клубов, физкультурно-оздоровительных комплексов в рамках Программы "Ауыл - Ел бeciгi".</w:t>
      </w:r>
    </w:p>
    <w:bookmarkEnd w:id="229"/>
    <w:bookmarkStart w:name="z244" w:id="230"/>
    <w:p>
      <w:pPr>
        <w:spacing w:after="0"/>
        <w:ind w:left="0"/>
        <w:jc w:val="both"/>
      </w:pPr>
      <w:r>
        <w:rPr>
          <w:rFonts w:ascii="Times New Roman"/>
          <w:b w:val="false"/>
          <w:i w:val="false"/>
          <w:color w:val="000000"/>
          <w:sz w:val="28"/>
        </w:rPr>
        <w:t>
      Таким образом трансферты из республиканского бюджета продолжают оставаться главным источником решения социально-экономических проблем регионов.</w:t>
      </w:r>
    </w:p>
    <w:bookmarkEnd w:id="230"/>
    <w:bookmarkStart w:name="z245" w:id="231"/>
    <w:p>
      <w:pPr>
        <w:spacing w:after="0"/>
        <w:ind w:left="0"/>
        <w:jc w:val="both"/>
      </w:pPr>
      <w:r>
        <w:rPr>
          <w:rFonts w:ascii="Times New Roman"/>
          <w:b w:val="false"/>
          <w:i w:val="false"/>
          <w:color w:val="000000"/>
          <w:sz w:val="28"/>
        </w:rPr>
        <w:t>
      Со стороны МИО наблюдается слабая заинтересованность в снижении зависимости от трансфертов и пополнении доходной части местных бюджетов за счет других источников.</w:t>
      </w:r>
    </w:p>
    <w:bookmarkEnd w:id="231"/>
    <w:bookmarkStart w:name="z246" w:id="232"/>
    <w:p>
      <w:pPr>
        <w:spacing w:after="0"/>
        <w:ind w:left="0"/>
        <w:jc w:val="both"/>
      </w:pPr>
      <w:r>
        <w:rPr>
          <w:rFonts w:ascii="Times New Roman"/>
          <w:b w:val="false"/>
          <w:i w:val="false"/>
          <w:color w:val="000000"/>
          <w:sz w:val="28"/>
        </w:rPr>
        <w:t>
      Вместе с тем сложившаяся система межбюджетных отношений указывает на наличие резервов для дальнейшего совершенствования.</w:t>
      </w:r>
    </w:p>
    <w:bookmarkEnd w:id="232"/>
    <w:bookmarkStart w:name="z247" w:id="233"/>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Государственный долг</w:t>
      </w:r>
    </w:p>
    <w:bookmarkEnd w:id="233"/>
    <w:bookmarkStart w:name="z248" w:id="234"/>
    <w:p>
      <w:pPr>
        <w:spacing w:after="0"/>
        <w:ind w:left="0"/>
        <w:jc w:val="both"/>
      </w:pPr>
      <w:r>
        <w:rPr>
          <w:rFonts w:ascii="Times New Roman"/>
          <w:b w:val="false"/>
          <w:i w:val="false"/>
          <w:color w:val="000000"/>
          <w:sz w:val="28"/>
        </w:rPr>
        <w:t>
      Формирование бюджета с дефицитом способствовало заимствованию со стороны Правительства на его покрытие и увеличению государственного долга.</w:t>
      </w:r>
    </w:p>
    <w:bookmarkEnd w:id="234"/>
    <w:bookmarkStart w:name="z249" w:id="235"/>
    <w:p>
      <w:pPr>
        <w:spacing w:after="0"/>
        <w:ind w:left="0"/>
        <w:jc w:val="both"/>
      </w:pPr>
      <w:r>
        <w:rPr>
          <w:rFonts w:ascii="Times New Roman"/>
          <w:b w:val="false"/>
          <w:i w:val="false"/>
          <w:color w:val="000000"/>
          <w:sz w:val="28"/>
        </w:rPr>
        <w:t>
      Так, за период с 2013 по 2021 год уровень государственного долга увеличился с 12,5 % к ВВП до 27,0 % к ВВП. За этот же период в номинальном выражении государственный долг увеличился в 5 раз (с 4,4 трлн тенге в 2013 году до 22,0 трлн тенге в 2021 году).</w:t>
      </w:r>
    </w:p>
    <w:bookmarkEnd w:id="235"/>
    <w:bookmarkStart w:name="z250" w:id="236"/>
    <w:p>
      <w:pPr>
        <w:spacing w:after="0"/>
        <w:ind w:left="0"/>
        <w:jc w:val="both"/>
      </w:pPr>
      <w:r>
        <w:rPr>
          <w:rFonts w:ascii="Times New Roman"/>
          <w:b w:val="false"/>
          <w:i w:val="false"/>
          <w:color w:val="000000"/>
          <w:sz w:val="28"/>
        </w:rPr>
        <w:t>
      Порядка 80 % государственного долга составляет долг Правительства, который увеличился с 4,4 трлн тенге в 2013 году до 18,7 трлн тенге в 2021 году, или с 10,1 % до 23,0 % к ВВП,</w:t>
      </w:r>
    </w:p>
    <w:bookmarkEnd w:id="236"/>
    <w:bookmarkStart w:name="z251" w:id="237"/>
    <w:p>
      <w:pPr>
        <w:spacing w:after="0"/>
        <w:ind w:left="0"/>
        <w:jc w:val="both"/>
      </w:pPr>
      <w:r>
        <w:rPr>
          <w:rFonts w:ascii="Times New Roman"/>
          <w:b w:val="false"/>
          <w:i w:val="false"/>
          <w:color w:val="000000"/>
          <w:sz w:val="28"/>
        </w:rPr>
        <w:t>
      Увеличение правительственного долга привело к росту затрат на его обслуживание. Расходы республиканского бюджета по обслуживанию правительственного долга выросли с 177,3 млрд тенге в 2013 году до 977,7 млрд тенге в 2021 году, или с 2,8 % до 6,4 % от общего объема расходов республиканского бюджета.</w:t>
      </w:r>
    </w:p>
    <w:bookmarkEnd w:id="237"/>
    <w:bookmarkStart w:name="z252" w:id="238"/>
    <w:p>
      <w:pPr>
        <w:spacing w:after="0"/>
        <w:ind w:left="0"/>
        <w:jc w:val="both"/>
      </w:pPr>
      <w:r>
        <w:rPr>
          <w:rFonts w:ascii="Times New Roman"/>
          <w:b w:val="false"/>
          <w:i w:val="false"/>
          <w:color w:val="000000"/>
          <w:sz w:val="28"/>
        </w:rPr>
        <w:t>
      В этой связи, основной задачей Правительства будет являться сдерживание роста государственного долга и расходов на его обслуживание.</w:t>
      </w:r>
    </w:p>
    <w:bookmarkEnd w:id="238"/>
    <w:bookmarkStart w:name="z253" w:id="239"/>
    <w:p>
      <w:pPr>
        <w:spacing w:after="0"/>
        <w:ind w:left="0"/>
        <w:jc w:val="both"/>
      </w:pPr>
      <w:r>
        <w:rPr>
          <w:rFonts w:ascii="Times New Roman"/>
          <w:b w:val="false"/>
          <w:i w:val="false"/>
          <w:color w:val="000000"/>
          <w:sz w:val="28"/>
        </w:rPr>
        <w:t xml:space="preserve">
      </w:t>
      </w:r>
      <w:r>
        <w:rPr>
          <w:rFonts w:ascii="Times New Roman"/>
          <w:b/>
          <w:i w:val="false"/>
          <w:color w:val="000000"/>
          <w:sz w:val="28"/>
        </w:rPr>
        <w:t>Квазигосударственный</w:t>
      </w:r>
      <w:r>
        <w:rPr>
          <w:rFonts w:ascii="Times New Roman"/>
          <w:b/>
          <w:i w:val="false"/>
          <w:color w:val="000000"/>
          <w:sz w:val="28"/>
        </w:rPr>
        <w:t xml:space="preserve"> долг</w:t>
      </w:r>
    </w:p>
    <w:bookmarkEnd w:id="239"/>
    <w:bookmarkStart w:name="z254" w:id="240"/>
    <w:p>
      <w:pPr>
        <w:spacing w:after="0"/>
        <w:ind w:left="0"/>
        <w:jc w:val="both"/>
      </w:pPr>
      <w:r>
        <w:rPr>
          <w:rFonts w:ascii="Times New Roman"/>
          <w:b w:val="false"/>
          <w:i w:val="false"/>
          <w:color w:val="000000"/>
          <w:sz w:val="28"/>
        </w:rPr>
        <w:t>
      Долг квазигосударственного сектора (Фонда, холдингов "Байтерек" и "КазАгро") в номинальном значении увеличился с 14,1 трлн тенге в 2015 году до 17,3 трлн тенге в 2021 году, при этом сократился по отношению к ВВП с 34,6 % до 21,2%.</w:t>
      </w:r>
    </w:p>
    <w:bookmarkEnd w:id="240"/>
    <w:bookmarkStart w:name="z255" w:id="241"/>
    <w:p>
      <w:pPr>
        <w:spacing w:after="0"/>
        <w:ind w:left="0"/>
        <w:jc w:val="both"/>
      </w:pPr>
      <w:r>
        <w:rPr>
          <w:rFonts w:ascii="Times New Roman"/>
          <w:b w:val="false"/>
          <w:i w:val="false"/>
          <w:color w:val="000000"/>
          <w:sz w:val="28"/>
        </w:rPr>
        <w:t>
      В структуре долга квазигосударственного сектора внешний долг (Фонда, холдинги "Байтерек" и "КазАгро") сократился с 8,1 трлн тенге (23,9 млрд долларов США) в 2015 году до 7,6 трлн тенге (17,7 млрд долларов США) в 2021 году, или с 20,0 % до 9,4% к ВВП.</w:t>
      </w:r>
    </w:p>
    <w:bookmarkEnd w:id="241"/>
    <w:bookmarkStart w:name="z256" w:id="242"/>
    <w:p>
      <w:pPr>
        <w:spacing w:after="0"/>
        <w:ind w:left="0"/>
        <w:jc w:val="both"/>
      </w:pPr>
      <w:r>
        <w:rPr>
          <w:rFonts w:ascii="Times New Roman"/>
          <w:b w:val="false"/>
          <w:i w:val="false"/>
          <w:color w:val="000000"/>
          <w:sz w:val="28"/>
        </w:rPr>
        <w:t>
      Задачей Правительства будет являться регулирование уровня долга квазигосударственного сектора в рамках ковенантов, установленных настоящей Концепцией.</w:t>
      </w:r>
    </w:p>
    <w:bookmarkEnd w:id="242"/>
    <w:bookmarkStart w:name="z257" w:id="243"/>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Система оценки результатов</w:t>
      </w:r>
    </w:p>
    <w:bookmarkEnd w:id="243"/>
    <w:bookmarkStart w:name="z258" w:id="244"/>
    <w:p>
      <w:pPr>
        <w:spacing w:after="0"/>
        <w:ind w:left="0"/>
        <w:jc w:val="both"/>
      </w:pPr>
      <w:r>
        <w:rPr>
          <w:rFonts w:ascii="Times New Roman"/>
          <w:b w:val="false"/>
          <w:i w:val="false"/>
          <w:color w:val="000000"/>
          <w:sz w:val="28"/>
        </w:rPr>
        <w:t>
      Согласно требованиям Бюджетного кодекса рассмотрение уполномоченными органами по государственному и бюджетному планированию предложений администраторов бюджетных программ при планировании бюджета на новый плановый период должно основываться на результатах оценки эффективности достижения целей планов развития и показателей бюджетных программ за прошлый год.</w:t>
      </w:r>
    </w:p>
    <w:bookmarkEnd w:id="244"/>
    <w:bookmarkStart w:name="z259" w:id="245"/>
    <w:p>
      <w:pPr>
        <w:spacing w:after="0"/>
        <w:ind w:left="0"/>
        <w:jc w:val="both"/>
      </w:pPr>
      <w:r>
        <w:rPr>
          <w:rFonts w:ascii="Times New Roman"/>
          <w:b w:val="false"/>
          <w:i w:val="false"/>
          <w:color w:val="000000"/>
          <w:sz w:val="28"/>
        </w:rPr>
        <w:t>
      При этом проведение оценки результатов в соответствии с установленным законодательством сроком осуществляется позже срока, установленного для представления документов для бюджетного планирования.</w:t>
      </w:r>
    </w:p>
    <w:bookmarkEnd w:id="245"/>
    <w:bookmarkStart w:name="z260" w:id="246"/>
    <w:p>
      <w:pPr>
        <w:spacing w:after="0"/>
        <w:ind w:left="0"/>
        <w:jc w:val="both"/>
      </w:pPr>
      <w:r>
        <w:rPr>
          <w:rFonts w:ascii="Times New Roman"/>
          <w:b w:val="false"/>
          <w:i w:val="false"/>
          <w:color w:val="000000"/>
          <w:sz w:val="28"/>
        </w:rPr>
        <w:t>
      Кроме того, существующая система оценки эффективности расходов бюджета, несмотря на отнесение ее к составной части бюджетного процесса, на практике представляет разрозненную систему с разными целями, разными сроками и разными уровнями представления итоговых отчетов оценки, что в целом не позволяет учитывать их при планировании бюджета и выступать одним из рычагов повышения эффективности расходов.</w:t>
      </w:r>
    </w:p>
    <w:bookmarkEnd w:id="246"/>
    <w:bookmarkStart w:name="z261" w:id="247"/>
    <w:p>
      <w:pPr>
        <w:spacing w:after="0"/>
        <w:ind w:left="0"/>
        <w:jc w:val="both"/>
      </w:pPr>
      <w:r>
        <w:rPr>
          <w:rFonts w:ascii="Times New Roman"/>
          <w:b w:val="false"/>
          <w:i w:val="false"/>
          <w:color w:val="000000"/>
          <w:sz w:val="28"/>
        </w:rPr>
        <w:t>
      В этой связи требуется рассмотреть вопрос синхронизации сроков оценки результатов со сроками процесса планирования бюджетных расходов, что позволило бы исходить при планировании бюджета из достигнутых результатов.</w:t>
      </w:r>
    </w:p>
    <w:bookmarkEnd w:id="247"/>
    <w:bookmarkStart w:name="z262" w:id="248"/>
    <w:p>
      <w:pPr>
        <w:spacing w:after="0"/>
        <w:ind w:left="0"/>
        <w:jc w:val="both"/>
      </w:pPr>
      <w:r>
        <w:rPr>
          <w:rFonts w:ascii="Times New Roman"/>
          <w:b w:val="false"/>
          <w:i w:val="false"/>
          <w:color w:val="000000"/>
          <w:sz w:val="28"/>
        </w:rPr>
        <w:t xml:space="preserve">
      </w:t>
      </w:r>
      <w:r>
        <w:rPr>
          <w:rFonts w:ascii="Times New Roman"/>
          <w:b/>
          <w:i w:val="false"/>
          <w:color w:val="000000"/>
          <w:sz w:val="28"/>
        </w:rPr>
        <w:t>Эффективность управления государственным имуществом</w:t>
      </w:r>
    </w:p>
    <w:bookmarkEnd w:id="248"/>
    <w:bookmarkStart w:name="z263" w:id="249"/>
    <w:p>
      <w:pPr>
        <w:spacing w:after="0"/>
        <w:ind w:left="0"/>
        <w:jc w:val="both"/>
      </w:pPr>
      <w:r>
        <w:rPr>
          <w:rFonts w:ascii="Times New Roman"/>
          <w:b w:val="false"/>
          <w:i w:val="false"/>
          <w:color w:val="000000"/>
          <w:sz w:val="28"/>
        </w:rPr>
        <w:t>
      Актуальными остаются вопросы эффективности деятельности квазигосударственного сектора.</w:t>
      </w:r>
    </w:p>
    <w:bookmarkEnd w:id="249"/>
    <w:bookmarkStart w:name="z264" w:id="250"/>
    <w:p>
      <w:pPr>
        <w:spacing w:after="0"/>
        <w:ind w:left="0"/>
        <w:jc w:val="both"/>
      </w:pPr>
      <w:r>
        <w:rPr>
          <w:rFonts w:ascii="Times New Roman"/>
          <w:b w:val="false"/>
          <w:i w:val="false"/>
          <w:color w:val="000000"/>
          <w:sz w:val="28"/>
        </w:rPr>
        <w:t>
      Сохраняются значительная доля участия государства в экономике и большое количество субъектов квазигосударственного сектора, насчитывающее около 6,4 тысяч организаций.</w:t>
      </w:r>
    </w:p>
    <w:bookmarkEnd w:id="250"/>
    <w:bookmarkStart w:name="z265" w:id="251"/>
    <w:p>
      <w:pPr>
        <w:spacing w:after="0"/>
        <w:ind w:left="0"/>
        <w:jc w:val="both"/>
      </w:pPr>
      <w:r>
        <w:rPr>
          <w:rFonts w:ascii="Times New Roman"/>
          <w:b w:val="false"/>
          <w:i w:val="false"/>
          <w:color w:val="000000"/>
          <w:sz w:val="28"/>
        </w:rPr>
        <w:t>
      Наблюдаются низкая эффективность квазигосударственного сектора, его зависимость от государственного бюджета, слабое корпоративное управление, отсутствие стратегической взаимоувязки деятельности юридических лиц с участием государства с общестрановыми целями.</w:t>
      </w:r>
    </w:p>
    <w:bookmarkEnd w:id="251"/>
    <w:bookmarkStart w:name="z266" w:id="252"/>
    <w:p>
      <w:pPr>
        <w:spacing w:after="0"/>
        <w:ind w:left="0"/>
        <w:jc w:val="both"/>
      </w:pPr>
      <w:r>
        <w:rPr>
          <w:rFonts w:ascii="Times New Roman"/>
          <w:b w:val="false"/>
          <w:i w:val="false"/>
          <w:color w:val="000000"/>
          <w:sz w:val="28"/>
        </w:rPr>
        <w:t>
      Действующая классификация государственной собственности не отражает коммерческую или некоммерческую цель создания субъектов квазигосударственного сектора, что приводит к отсутствию системности в определении организационно-правовых форм таких организаций, к различной системе финансирования из бюджета и учета имущества: государственные предприятия финансируются по повышенному нормативу подушевого финансирования в отличие от государственных учреждений, и учет имущества осуществляется по различным стандартам финансовой отчетности.</w:t>
      </w:r>
    </w:p>
    <w:bookmarkEnd w:id="252"/>
    <w:bookmarkStart w:name="z267" w:id="253"/>
    <w:p>
      <w:pPr>
        <w:spacing w:after="0"/>
        <w:ind w:left="0"/>
        <w:jc w:val="both"/>
      </w:pPr>
      <w:r>
        <w:rPr>
          <w:rFonts w:ascii="Times New Roman"/>
          <w:b w:val="false"/>
          <w:i w:val="false"/>
          <w:color w:val="000000"/>
          <w:sz w:val="28"/>
        </w:rPr>
        <w:t>
      Требуют решения пробелы в отношении признания доходов и оценки государственных активов и обязательств. Для объективной и неискаженной картины финансового положения Правительства и истинной стоимости бюджетных решений необходим точный учет затрат в соответствии с международными стандартами, что может дать полезную информацию об относительной эффективности в различных административных областях.</w:t>
      </w:r>
    </w:p>
    <w:bookmarkEnd w:id="253"/>
    <w:bookmarkStart w:name="z268" w:id="254"/>
    <w:p>
      <w:pPr>
        <w:spacing w:after="0"/>
        <w:ind w:left="0"/>
        <w:jc w:val="both"/>
      </w:pPr>
      <w:r>
        <w:rPr>
          <w:rFonts w:ascii="Times New Roman"/>
          <w:b w:val="false"/>
          <w:i w:val="false"/>
          <w:color w:val="000000"/>
          <w:sz w:val="28"/>
        </w:rPr>
        <w:t>
      Сохраняется информационная закрытость квазигосударственного сектора. В открытом доступе отсутствуют данные о структурах компаний, результатах финансовой деятельности, выплачиваемых дивидендах и других аспектах деятельности юридических лиц с участием государства.</w:t>
      </w:r>
    </w:p>
    <w:bookmarkEnd w:id="254"/>
    <w:bookmarkStart w:name="z269" w:id="255"/>
    <w:p>
      <w:pPr>
        <w:spacing w:after="0"/>
        <w:ind w:left="0"/>
        <w:jc w:val="both"/>
      </w:pPr>
      <w:r>
        <w:rPr>
          <w:rFonts w:ascii="Times New Roman"/>
          <w:b w:val="false"/>
          <w:i w:val="false"/>
          <w:color w:val="000000"/>
          <w:sz w:val="28"/>
        </w:rPr>
        <w:t>
      Кроме того, до настоящего времени остается не до конца урегулированным вопрос формирования консолидированной бухгалтерской отчетности по всем институциональным единицам государственного и квазигосударственного секторов, внебюджетных фондов.</w:t>
      </w:r>
    </w:p>
    <w:bookmarkEnd w:id="255"/>
    <w:bookmarkStart w:name="z270" w:id="256"/>
    <w:p>
      <w:pPr>
        <w:spacing w:after="0"/>
        <w:ind w:left="0"/>
        <w:jc w:val="both"/>
      </w:pPr>
      <w:r>
        <w:rPr>
          <w:rFonts w:ascii="Times New Roman"/>
          <w:b w:val="false"/>
          <w:i w:val="false"/>
          <w:color w:val="000000"/>
          <w:sz w:val="28"/>
        </w:rPr>
        <w:t>
      С учетом анализа действующей ситуации отмечаем следующие основные проблемы государственных финансов:</w:t>
      </w:r>
    </w:p>
    <w:bookmarkEnd w:id="256"/>
    <w:bookmarkStart w:name="z271" w:id="257"/>
    <w:p>
      <w:pPr>
        <w:spacing w:after="0"/>
        <w:ind w:left="0"/>
        <w:jc w:val="both"/>
      </w:pPr>
      <w:r>
        <w:rPr>
          <w:rFonts w:ascii="Times New Roman"/>
          <w:b w:val="false"/>
          <w:i w:val="false"/>
          <w:color w:val="000000"/>
          <w:sz w:val="28"/>
        </w:rPr>
        <w:t>
      зависимость бюджета от нефтяных поступлений, сокращение активов НФРК, связанные с увеличением изъятий из НФРК для поддержки экономики;</w:t>
      </w:r>
    </w:p>
    <w:bookmarkEnd w:id="257"/>
    <w:bookmarkStart w:name="z272" w:id="258"/>
    <w:p>
      <w:pPr>
        <w:spacing w:after="0"/>
        <w:ind w:left="0"/>
        <w:jc w:val="both"/>
      </w:pPr>
      <w:r>
        <w:rPr>
          <w:rFonts w:ascii="Times New Roman"/>
          <w:b w:val="false"/>
          <w:i w:val="false"/>
          <w:color w:val="000000"/>
          <w:sz w:val="28"/>
        </w:rPr>
        <w:t>
      недостаточная консолидация ненефтяных налоговых поступлений, требующая отмены неэфффективных налоговых льгот, расширения налоговой базы, усиления мер администрирования налогов;</w:t>
      </w:r>
    </w:p>
    <w:bookmarkEnd w:id="258"/>
    <w:bookmarkStart w:name="z273" w:id="259"/>
    <w:p>
      <w:pPr>
        <w:spacing w:after="0"/>
        <w:ind w:left="0"/>
        <w:jc w:val="both"/>
      </w:pPr>
      <w:r>
        <w:rPr>
          <w:rFonts w:ascii="Times New Roman"/>
          <w:b w:val="false"/>
          <w:i w:val="false"/>
          <w:color w:val="000000"/>
          <w:sz w:val="28"/>
        </w:rPr>
        <w:t>
      значительная доля участия государства в экономике с низкой эффективностью квазигосударственного сектора;</w:t>
      </w:r>
    </w:p>
    <w:bookmarkEnd w:id="259"/>
    <w:bookmarkStart w:name="z274" w:id="260"/>
    <w:p>
      <w:pPr>
        <w:spacing w:after="0"/>
        <w:ind w:left="0"/>
        <w:jc w:val="both"/>
      </w:pPr>
      <w:r>
        <w:rPr>
          <w:rFonts w:ascii="Times New Roman"/>
          <w:b w:val="false"/>
          <w:i w:val="false"/>
          <w:color w:val="000000"/>
          <w:sz w:val="28"/>
        </w:rPr>
        <w:t>
      отсутствие дополнительных инструментов для оценки и переориентации расходов с низкоэффективных на высокорезультативные, что способствовало бы формированию комплексного видения в приоритетах и направлениях бюджетных расходов.</w:t>
      </w:r>
    </w:p>
    <w:bookmarkEnd w:id="260"/>
    <w:bookmarkStart w:name="z275" w:id="261"/>
    <w:p>
      <w:pPr>
        <w:spacing w:after="0"/>
        <w:ind w:left="0"/>
        <w:jc w:val="both"/>
      </w:pPr>
      <w:r>
        <w:rPr>
          <w:rFonts w:ascii="Times New Roman"/>
          <w:b w:val="false"/>
          <w:i w:val="false"/>
          <w:color w:val="000000"/>
          <w:sz w:val="28"/>
        </w:rPr>
        <w:t>
      Следствием указанных проблем являются хронический дефицит и увеличение ненефтяного дефицита, рост долговой нагрузки на бюджет, слабая финансовая дисциплина в части соблюдения установленных бюджетных правил, рост теневой экономики.</w:t>
      </w:r>
    </w:p>
    <w:bookmarkEnd w:id="261"/>
    <w:bookmarkStart w:name="z276" w:id="262"/>
    <w:p>
      <w:pPr>
        <w:spacing w:after="0"/>
        <w:ind w:left="0"/>
        <w:jc w:val="both"/>
      </w:pPr>
      <w:r>
        <w:rPr>
          <w:rFonts w:ascii="Times New Roman"/>
          <w:b w:val="false"/>
          <w:i w:val="false"/>
          <w:color w:val="000000"/>
          <w:sz w:val="28"/>
        </w:rPr>
        <w:t>
      Исходя из изложенного одними из основных задач управления государственными финансами до 2030 года являются консолидация государственных финансов и восстановление сбалансированности и устойчивости бюджета за счет укрепления доходной части бюджета, накопления средств НФРК, пересмотра долговой политики, повышения эффективности и экономической отдачи бюджетных расходов, усиления транспарентности бюджета, в том числе автоматизации и цифровизации бюджетного процесса.</w:t>
      </w:r>
    </w:p>
    <w:bookmarkEnd w:id="262"/>
    <w:bookmarkStart w:name="z277" w:id="263"/>
    <w:p>
      <w:pPr>
        <w:spacing w:after="0"/>
        <w:ind w:left="0"/>
        <w:jc w:val="left"/>
      </w:pPr>
      <w:r>
        <w:rPr>
          <w:rFonts w:ascii="Times New Roman"/>
          <w:b/>
          <w:i w:val="false"/>
          <w:color w:val="000000"/>
        </w:rPr>
        <w:t xml:space="preserve"> Раздел 3.</w:t>
      </w:r>
      <w:r>
        <w:br/>
      </w:r>
      <w:r>
        <w:rPr>
          <w:rFonts w:ascii="Times New Roman"/>
          <w:b/>
          <w:i w:val="false"/>
          <w:color w:val="000000"/>
        </w:rPr>
        <w:t>Обзор международного опыта</w:t>
      </w:r>
    </w:p>
    <w:bookmarkEnd w:id="263"/>
    <w:bookmarkStart w:name="z278" w:id="264"/>
    <w:p>
      <w:pPr>
        <w:spacing w:after="0"/>
        <w:ind w:left="0"/>
        <w:jc w:val="both"/>
      </w:pPr>
      <w:r>
        <w:rPr>
          <w:rFonts w:ascii="Times New Roman"/>
          <w:b w:val="false"/>
          <w:i w:val="false"/>
          <w:color w:val="000000"/>
          <w:sz w:val="28"/>
        </w:rPr>
        <w:t>
      Среди разнообразных подходов к бюджетной реформе в последние годы наиболее популярными областями внимания были фискальные правила, пересмотр приоритета расходов, усовершенствование бюджетного планирования и повышение прозрачности бюджета.</w:t>
      </w:r>
    </w:p>
    <w:bookmarkEnd w:id="264"/>
    <w:bookmarkStart w:name="z279" w:id="265"/>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Бюджетные правила</w:t>
      </w:r>
    </w:p>
    <w:bookmarkEnd w:id="265"/>
    <w:bookmarkStart w:name="z280" w:id="266"/>
    <w:p>
      <w:pPr>
        <w:spacing w:after="0"/>
        <w:ind w:left="0"/>
        <w:jc w:val="both"/>
      </w:pPr>
      <w:r>
        <w:rPr>
          <w:rFonts w:ascii="Times New Roman"/>
          <w:b w:val="false"/>
          <w:i w:val="false"/>
          <w:color w:val="000000"/>
          <w:sz w:val="28"/>
        </w:rPr>
        <w:t>
      Бюджетное или фискальное правило налагает долговременные ограничения на налогово-бюджетную политику посредством числовых ограничений на бюджетные агрегаты. Это означает, что для налогово-бюджетной политики устанавливаются границы, которые нельзя часто менять, и некоторые оперативные рекомендации предоставляются путем определения числового целевого показателя, ограничивающего конкретный бюджетный агрегат, будь то расходы или доходы.</w:t>
      </w:r>
    </w:p>
    <w:bookmarkEnd w:id="266"/>
    <w:bookmarkStart w:name="z281" w:id="267"/>
    <w:p>
      <w:pPr>
        <w:spacing w:after="0"/>
        <w:ind w:left="0"/>
        <w:jc w:val="both"/>
      </w:pPr>
      <w:r>
        <w:rPr>
          <w:rFonts w:ascii="Times New Roman"/>
          <w:b w:val="false"/>
          <w:i w:val="false"/>
          <w:color w:val="000000"/>
          <w:sz w:val="28"/>
        </w:rPr>
        <w:t>
      Правило долга устанавливают предел или цель для государственного долга в процентах от ВВП.</w:t>
      </w:r>
    </w:p>
    <w:bookmarkEnd w:id="267"/>
    <w:bookmarkStart w:name="z282" w:id="268"/>
    <w:p>
      <w:pPr>
        <w:spacing w:after="0"/>
        <w:ind w:left="0"/>
        <w:jc w:val="both"/>
      </w:pPr>
      <w:r>
        <w:rPr>
          <w:rFonts w:ascii="Times New Roman"/>
          <w:b w:val="false"/>
          <w:i w:val="false"/>
          <w:color w:val="000000"/>
          <w:sz w:val="28"/>
        </w:rPr>
        <w:t>
      Этот тип правил, по определению, является наиболее эффективным с точки зрения обеспечения сближения с целевым показателем долга.</w:t>
      </w:r>
    </w:p>
    <w:bookmarkEnd w:id="268"/>
    <w:bookmarkStart w:name="z283" w:id="269"/>
    <w:p>
      <w:pPr>
        <w:spacing w:after="0"/>
        <w:ind w:left="0"/>
        <w:jc w:val="both"/>
      </w:pPr>
      <w:r>
        <w:rPr>
          <w:rFonts w:ascii="Times New Roman"/>
          <w:b w:val="false"/>
          <w:i w:val="false"/>
          <w:color w:val="000000"/>
          <w:sz w:val="28"/>
        </w:rPr>
        <w:t>
      Правило бюджетного баланса ограничивают переменную, которая в первую очередь влияет на коэффициент долговой нагрузки и в значительной степени находится под контролем политиков.</w:t>
      </w:r>
    </w:p>
    <w:bookmarkEnd w:id="269"/>
    <w:bookmarkStart w:name="z284" w:id="270"/>
    <w:p>
      <w:pPr>
        <w:spacing w:after="0"/>
        <w:ind w:left="0"/>
        <w:jc w:val="both"/>
      </w:pPr>
      <w:r>
        <w:rPr>
          <w:rFonts w:ascii="Times New Roman"/>
          <w:b w:val="false"/>
          <w:i w:val="false"/>
          <w:color w:val="000000"/>
          <w:sz w:val="28"/>
        </w:rPr>
        <w:t>
      Правило структурного баланса опирается на предварительно установленную ориентировочную цену нефти. В этом подходе фактически разрывается увязка расходов и колебаний нефтяных доходов, связанных с изменениями в цене, что предотвращает влияние волатильности цен на нефть на циклические колебания налогово-бюджетной политики. Ориентировочная цена нефти должна быть основана на долгосрочных исторических и будущих ценах.</w:t>
      </w:r>
    </w:p>
    <w:bookmarkEnd w:id="270"/>
    <w:bookmarkStart w:name="z285" w:id="271"/>
    <w:p>
      <w:pPr>
        <w:spacing w:after="0"/>
        <w:ind w:left="0"/>
        <w:jc w:val="both"/>
      </w:pPr>
      <w:r>
        <w:rPr>
          <w:rFonts w:ascii="Times New Roman"/>
          <w:b w:val="false"/>
          <w:i w:val="false"/>
          <w:color w:val="000000"/>
          <w:sz w:val="28"/>
        </w:rPr>
        <w:t>
      Цена отсечения будет оцениваться путем применения экспертных оценок по цене на нефть (на основе консенсуса-прогноза по оценкам международных финансовых организаций (далее - МФО) на период бюджетного планирования при наличии формального ограничения сверху на уровне 30-летней средней цены на нефть (50$/brl).</w:t>
      </w:r>
    </w:p>
    <w:bookmarkEnd w:id="271"/>
    <w:bookmarkStart w:name="z286" w:id="272"/>
    <w:p>
      <w:pPr>
        <w:spacing w:after="0"/>
        <w:ind w:left="0"/>
        <w:jc w:val="both"/>
      </w:pPr>
      <w:r>
        <w:rPr>
          <w:rFonts w:ascii="Times New Roman"/>
          <w:b w:val="false"/>
          <w:i w:val="false"/>
          <w:color w:val="000000"/>
          <w:sz w:val="28"/>
        </w:rPr>
        <w:t>
      Согласно правилу структурного баланса государственные расходы должны быть спланированы в размере, соответствующем доходам, скорректированным с учетом экономического цикла.</w:t>
      </w:r>
    </w:p>
    <w:bookmarkEnd w:id="272"/>
    <w:bookmarkStart w:name="z287" w:id="273"/>
    <w:p>
      <w:pPr>
        <w:spacing w:after="0"/>
        <w:ind w:left="0"/>
        <w:jc w:val="both"/>
      </w:pPr>
      <w:r>
        <w:rPr>
          <w:rFonts w:ascii="Times New Roman"/>
          <w:b w:val="false"/>
          <w:i w:val="false"/>
          <w:color w:val="000000"/>
          <w:sz w:val="28"/>
        </w:rPr>
        <w:t>
      Правила расходов устанавливают ограничения на общие, основные или текущие расходы.</w:t>
      </w:r>
    </w:p>
    <w:bookmarkEnd w:id="273"/>
    <w:bookmarkStart w:name="z288" w:id="274"/>
    <w:p>
      <w:pPr>
        <w:spacing w:after="0"/>
        <w:ind w:left="0"/>
        <w:jc w:val="both"/>
      </w:pPr>
      <w:r>
        <w:rPr>
          <w:rFonts w:ascii="Times New Roman"/>
          <w:b w:val="false"/>
          <w:i w:val="false"/>
          <w:color w:val="000000"/>
          <w:sz w:val="28"/>
        </w:rPr>
        <w:t>
      Такие лимиты обычно устанавливаются в абсолютных величинах или темпах роста, а иногда и в процентах от ВВП с временным горизонтом, в основном составляющим от трех до пяти лет.</w:t>
      </w:r>
    </w:p>
    <w:bookmarkEnd w:id="274"/>
    <w:bookmarkStart w:name="z289" w:id="275"/>
    <w:p>
      <w:pPr>
        <w:spacing w:after="0"/>
        <w:ind w:left="0"/>
        <w:jc w:val="both"/>
      </w:pPr>
      <w:r>
        <w:rPr>
          <w:rFonts w:ascii="Times New Roman"/>
          <w:b w:val="false"/>
          <w:i w:val="false"/>
          <w:color w:val="000000"/>
          <w:sz w:val="28"/>
        </w:rPr>
        <w:t>
      Эти правила не связаны напрямую с целью обеспечения устойчивости долга, поскольку не ограничивают доходную часть. Однако они могут предоставить операционный инструмент для запуска необходимой фискальной консолидации, соответствующей устойчивости, когда они сопровождаются правилами долга или баланса бюджета.</w:t>
      </w:r>
    </w:p>
    <w:bookmarkEnd w:id="275"/>
    <w:bookmarkStart w:name="z290" w:id="276"/>
    <w:p>
      <w:pPr>
        <w:spacing w:after="0"/>
        <w:ind w:left="0"/>
        <w:jc w:val="both"/>
      </w:pPr>
      <w:r>
        <w:rPr>
          <w:rFonts w:ascii="Times New Roman"/>
          <w:b w:val="false"/>
          <w:i w:val="false"/>
          <w:color w:val="000000"/>
          <w:sz w:val="28"/>
        </w:rPr>
        <w:t>
      Кроме того, они могут ограничивать расходы во время восходящего экономического цикла, когда непредвиденные поступления доходов временно высоки, а общие ограничения дефицита легко соблюдать.</w:t>
      </w:r>
    </w:p>
    <w:bookmarkEnd w:id="276"/>
    <w:bookmarkStart w:name="z291" w:id="277"/>
    <w:p>
      <w:pPr>
        <w:spacing w:after="0"/>
        <w:ind w:left="0"/>
        <w:jc w:val="both"/>
      </w:pPr>
      <w:r>
        <w:rPr>
          <w:rFonts w:ascii="Times New Roman"/>
          <w:b w:val="false"/>
          <w:i w:val="false"/>
          <w:color w:val="000000"/>
          <w:sz w:val="28"/>
        </w:rPr>
        <w:t>
      Правила о доходах устанавливают потолок или минимум доходов и направлены на повышение собираемости доходов и/или предотвращение чрезмерного налогового бремени.</w:t>
      </w:r>
    </w:p>
    <w:bookmarkEnd w:id="277"/>
    <w:bookmarkStart w:name="z292" w:id="278"/>
    <w:p>
      <w:pPr>
        <w:spacing w:after="0"/>
        <w:ind w:left="0"/>
        <w:jc w:val="left"/>
      </w:pPr>
      <w:r>
        <w:rPr>
          <w:rFonts w:ascii="Times New Roman"/>
          <w:b/>
          <w:i w:val="false"/>
          <w:color w:val="000000"/>
        </w:rPr>
        <w:t xml:space="preserve"> Категоризация правил</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правила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Прямая связь с устойчивостью долга.</w:t>
            </w:r>
          </w:p>
          <w:bookmarkEnd w:id="279"/>
          <w:p>
            <w:pPr>
              <w:spacing w:after="20"/>
              <w:ind w:left="20"/>
              <w:jc w:val="both"/>
            </w:pPr>
            <w:r>
              <w:rPr>
                <w:rFonts w:ascii="Times New Roman"/>
                <w:b w:val="false"/>
                <w:i w:val="false"/>
                <w:color w:val="000000"/>
                <w:sz w:val="20"/>
              </w:rPr>
              <w:t>
Легко контролировать и объяснять обществу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0"/>
          <w:p>
            <w:pPr>
              <w:spacing w:after="20"/>
              <w:ind w:left="20"/>
              <w:jc w:val="both"/>
            </w:pPr>
            <w:r>
              <w:rPr>
                <w:rFonts w:ascii="Times New Roman"/>
                <w:b w:val="false"/>
                <w:i w:val="false"/>
                <w:color w:val="000000"/>
                <w:sz w:val="20"/>
              </w:rPr>
              <w:t>
Отсутствует функция экономической стабилизации (может быть проциклической).</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может быть выполнено с помощью временных мер.</w:t>
            </w:r>
          </w:p>
          <w:p>
            <w:pPr>
              <w:spacing w:after="20"/>
              <w:ind w:left="20"/>
              <w:jc w:val="both"/>
            </w:pPr>
            <w:r>
              <w:rPr>
                <w:rFonts w:ascii="Times New Roman"/>
                <w:b w:val="false"/>
                <w:i w:val="false"/>
                <w:color w:val="000000"/>
                <w:sz w:val="20"/>
              </w:rPr>
              <w:t>
На задолженность могут повлиять события, не зависящие от правительства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1"/>
          <w:p>
            <w:pPr>
              <w:spacing w:after="20"/>
              <w:ind w:left="20"/>
              <w:jc w:val="both"/>
            </w:pPr>
            <w:r>
              <w:rPr>
                <w:rFonts w:ascii="Times New Roman"/>
                <w:b w:val="false"/>
                <w:i w:val="false"/>
                <w:color w:val="000000"/>
                <w:sz w:val="20"/>
              </w:rPr>
              <w:t>
Четкое оперативное руководство.</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экономическую стабилизацию.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Регулирует размер бюджета.</w:t>
            </w:r>
          </w:p>
          <w:p>
            <w:pPr>
              <w:spacing w:after="20"/>
              <w:ind w:left="20"/>
              <w:jc w:val="both"/>
            </w:pPr>
            <w:r>
              <w:rPr>
                <w:rFonts w:ascii="Times New Roman"/>
                <w:b w:val="false"/>
                <w:i w:val="false"/>
                <w:color w:val="000000"/>
                <w:sz w:val="20"/>
              </w:rPr>
              <w:t>
Относительно легко контролировать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r>
              <w:rPr>
                <w:rFonts w:ascii="Times New Roman"/>
                <w:b w:val="false"/>
                <w:i w:val="false"/>
                <w:color w:val="000000"/>
                <w:sz w:val="20"/>
              </w:rPr>
              <w:t>
Не связано напрямую с приемлемым уровнем долга, так как нет ограничений для доходной части.</w:t>
            </w:r>
          </w:p>
          <w:bookmarkEnd w:id="282"/>
          <w:p>
            <w:pPr>
              <w:spacing w:after="20"/>
              <w:ind w:left="20"/>
              <w:jc w:val="both"/>
            </w:pPr>
            <w:r>
              <w:rPr>
                <w:rFonts w:ascii="Times New Roman"/>
                <w:b w:val="false"/>
                <w:i w:val="false"/>
                <w:color w:val="000000"/>
                <w:sz w:val="20"/>
              </w:rPr>
              <w:t>
Может привести к нежелательным изменениям в распределении расходов, если для достижения потолка произойдет переход к категориям расходов, которые не охватываются правилом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3"/>
          <w:p>
            <w:pPr>
              <w:spacing w:after="20"/>
              <w:ind w:left="20"/>
              <w:jc w:val="both"/>
            </w:pPr>
            <w:r>
              <w:rPr>
                <w:rFonts w:ascii="Times New Roman"/>
                <w:b w:val="false"/>
                <w:i w:val="false"/>
                <w:color w:val="000000"/>
                <w:sz w:val="20"/>
              </w:rPr>
              <w:t>
Управляет размером бюджета.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Может улучшать политику доходов и администрирование.</w:t>
            </w:r>
          </w:p>
          <w:p>
            <w:pPr>
              <w:spacing w:after="20"/>
              <w:ind w:left="20"/>
              <w:jc w:val="both"/>
            </w:pPr>
            <w:r>
              <w:rPr>
                <w:rFonts w:ascii="Times New Roman"/>
                <w:b w:val="false"/>
                <w:i w:val="false"/>
                <w:color w:val="000000"/>
                <w:sz w:val="20"/>
              </w:rPr>
              <w:t>
Может предотвращать проциклические расходы (правила, ограничивающие использование непредвиденных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4"/>
          <w:p>
            <w:pPr>
              <w:spacing w:after="20"/>
              <w:ind w:left="20"/>
              <w:jc w:val="both"/>
            </w:pPr>
            <w:r>
              <w:rPr>
                <w:rFonts w:ascii="Times New Roman"/>
                <w:b w:val="false"/>
                <w:i w:val="false"/>
                <w:color w:val="000000"/>
                <w:sz w:val="20"/>
              </w:rPr>
              <w:t>
Не связано напрямую с приемлемым уровнем долга, поскольку нет ограничений на расходную часть (за исключением правил, ограничивающих использование непредвиденных доходов).</w:t>
            </w:r>
          </w:p>
          <w:bookmarkEnd w:id="284"/>
          <w:p>
            <w:pPr>
              <w:spacing w:after="20"/>
              <w:ind w:left="20"/>
              <w:jc w:val="both"/>
            </w:pPr>
            <w:r>
              <w:rPr>
                <w:rFonts w:ascii="Times New Roman"/>
                <w:b w:val="false"/>
                <w:i w:val="false"/>
                <w:color w:val="000000"/>
                <w:sz w:val="20"/>
              </w:rPr>
              <w:t>
Отсутствует функция экономической стабилизации (может быть проциклической)</w:t>
            </w:r>
          </w:p>
        </w:tc>
      </w:tr>
    </w:tbl>
    <w:p>
      <w:pPr>
        <w:spacing w:after="0"/>
        <w:ind w:left="0"/>
        <w:jc w:val="left"/>
      </w:pPr>
      <w:r>
        <w:br/>
      </w:r>
      <w:r>
        <w:rPr>
          <w:rFonts w:ascii="Times New Roman"/>
          <w:b w:val="false"/>
          <w:i w:val="false"/>
          <w:color w:val="000000"/>
          <w:sz w:val="28"/>
        </w:rPr>
        <w:t>
</w:t>
      </w:r>
    </w:p>
    <w:bookmarkStart w:name="z303" w:id="285"/>
    <w:p>
      <w:pPr>
        <w:spacing w:after="0"/>
        <w:ind w:left="0"/>
        <w:jc w:val="both"/>
      </w:pPr>
      <w:r>
        <w:rPr>
          <w:rFonts w:ascii="Times New Roman"/>
          <w:b w:val="false"/>
          <w:i w:val="false"/>
          <w:color w:val="000000"/>
          <w:sz w:val="28"/>
        </w:rPr>
        <w:t>
      Принимая во внимание компромиссы, многие страны комбинируют два или более фискальных правила.</w:t>
      </w:r>
    </w:p>
    <w:bookmarkEnd w:id="285"/>
    <w:bookmarkStart w:name="z304" w:id="286"/>
    <w:p>
      <w:pPr>
        <w:spacing w:after="0"/>
        <w:ind w:left="0"/>
        <w:jc w:val="both"/>
      </w:pPr>
      <w:r>
        <w:rPr>
          <w:rFonts w:ascii="Times New Roman"/>
          <w:b w:val="false"/>
          <w:i w:val="false"/>
          <w:color w:val="000000"/>
          <w:sz w:val="28"/>
        </w:rPr>
        <w:t>
      Например, правило долга в сочетании с правилом расходов могло бы обеспечить связь с приемлемым уровнем долга, а также помочь политикам в принятии краткосрочных и среднесрочных операционных решений, допуская некоторую контрцикличность и ориентируясь на размер бюджета.</w:t>
      </w:r>
    </w:p>
    <w:bookmarkEnd w:id="286"/>
    <w:bookmarkStart w:name="z305" w:id="287"/>
    <w:p>
      <w:pPr>
        <w:spacing w:after="0"/>
        <w:ind w:left="0"/>
        <w:jc w:val="both"/>
      </w:pPr>
      <w:r>
        <w:rPr>
          <w:rFonts w:ascii="Times New Roman"/>
          <w:b w:val="false"/>
          <w:i w:val="false"/>
          <w:color w:val="000000"/>
          <w:sz w:val="28"/>
        </w:rPr>
        <w:t>
      Точно также этого можно было бы достичь за счет комбинации правила долга и циклически скорректированного бюджетного баланса.</w:t>
      </w:r>
    </w:p>
    <w:bookmarkEnd w:id="287"/>
    <w:bookmarkStart w:name="z306" w:id="288"/>
    <w:p>
      <w:pPr>
        <w:spacing w:after="0"/>
        <w:ind w:left="0"/>
        <w:jc w:val="both"/>
      </w:pPr>
      <w:r>
        <w:rPr>
          <w:rFonts w:ascii="Times New Roman"/>
          <w:b w:val="false"/>
          <w:i w:val="false"/>
          <w:color w:val="000000"/>
          <w:sz w:val="28"/>
        </w:rPr>
        <w:t>
      В странах ОЭСР наиболее часто используемые правила ограничивают долг и баланс бюджета и часто это происходит в сочетании.</w:t>
      </w:r>
    </w:p>
    <w:bookmarkEnd w:id="288"/>
    <w:bookmarkStart w:name="z307" w:id="289"/>
    <w:p>
      <w:pPr>
        <w:spacing w:after="0"/>
        <w:ind w:left="0"/>
        <w:jc w:val="both"/>
      </w:pPr>
      <w:r>
        <w:rPr>
          <w:rFonts w:ascii="Times New Roman"/>
          <w:b w:val="false"/>
          <w:i w:val="false"/>
          <w:color w:val="000000"/>
          <w:sz w:val="28"/>
        </w:rPr>
        <w:t>
      В национальных фискальных правилах также преобладают правила расходов. Часто они сочетаются с правилами баланса бюджета или долга, чтобы обеспечить более надежную основу для устойчивости долга.</w:t>
      </w:r>
    </w:p>
    <w:bookmarkEnd w:id="289"/>
    <w:bookmarkStart w:name="z308" w:id="290"/>
    <w:p>
      <w:pPr>
        <w:spacing w:after="0"/>
        <w:ind w:left="0"/>
        <w:jc w:val="both"/>
      </w:pPr>
      <w:r>
        <w:rPr>
          <w:rFonts w:ascii="Times New Roman"/>
          <w:b w:val="false"/>
          <w:i w:val="false"/>
          <w:color w:val="000000"/>
          <w:sz w:val="28"/>
        </w:rPr>
        <w:t>
      Правила доходов играют гораздо более ограниченную роль, вероятно, потому, что они менее подходят для обеспечения устойчивости государственных финансов.</w:t>
      </w:r>
    </w:p>
    <w:bookmarkEnd w:id="290"/>
    <w:bookmarkStart w:name="z309" w:id="291"/>
    <w:p>
      <w:pPr>
        <w:spacing w:after="0"/>
        <w:ind w:left="0"/>
        <w:jc w:val="both"/>
      </w:pPr>
      <w:r>
        <w:rPr>
          <w:rFonts w:ascii="Times New Roman"/>
          <w:b w:val="false"/>
          <w:i w:val="false"/>
          <w:color w:val="000000"/>
          <w:sz w:val="28"/>
        </w:rPr>
        <w:t>
      Законодательная база для обеспечения имплементации правил в странах ОЭСР различается в зависимости от типа правления и страны. Основная часть правил национальных расходов, баланса и долга закреплена в законодательных нормах. Меньшее количество существующих правил доходов реализуется за счет сочетания политических обязательств, коалиционных соглашений и законодательных норм. В целом большинство правил баланса и долга является наднациональными правилами, установленными международными договорами в рамках Европейского Совета (далее - ЕС).</w:t>
      </w:r>
    </w:p>
    <w:bookmarkEnd w:id="291"/>
    <w:bookmarkStart w:name="z310" w:id="292"/>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Механизмы автоматической корректировки</w:t>
      </w:r>
    </w:p>
    <w:bookmarkEnd w:id="292"/>
    <w:bookmarkStart w:name="z311" w:id="293"/>
    <w:p>
      <w:pPr>
        <w:spacing w:after="0"/>
        <w:ind w:left="0"/>
        <w:jc w:val="both"/>
      </w:pPr>
      <w:r>
        <w:rPr>
          <w:rFonts w:ascii="Times New Roman"/>
          <w:b w:val="false"/>
          <w:i w:val="false"/>
          <w:color w:val="000000"/>
          <w:sz w:val="28"/>
        </w:rPr>
        <w:t>
      Механизмы автоматической корректировки правил могут повысить их силу, но пока они встроены в очень немногие правила. Как и в случае с другими элементами правил четкое определение механизма и закрепление его в законодательстве могут способствовать их соблюдению, но в конечном итоге имеет значение политическая воля.</w:t>
      </w:r>
    </w:p>
    <w:bookmarkEnd w:id="293"/>
    <w:bookmarkStart w:name="z312" w:id="294"/>
    <w:p>
      <w:pPr>
        <w:spacing w:after="0"/>
        <w:ind w:left="0"/>
        <w:jc w:val="both"/>
      </w:pPr>
      <w:r>
        <w:rPr>
          <w:rFonts w:ascii="Times New Roman"/>
          <w:b w:val="false"/>
          <w:i w:val="false"/>
          <w:color w:val="000000"/>
          <w:sz w:val="28"/>
        </w:rPr>
        <w:t>
      Правила в отношении долга Польши и Словакии, которые устанавливают потолок долга в 60 % от ВВП, включают пороговые значения, по достижении которых автоматически инициируются действия, чтобы избежать нарушения этого правила.</w:t>
      </w:r>
    </w:p>
    <w:bookmarkEnd w:id="294"/>
    <w:bookmarkStart w:name="z313" w:id="295"/>
    <w:p>
      <w:pPr>
        <w:spacing w:after="0"/>
        <w:ind w:left="0"/>
        <w:jc w:val="both"/>
      </w:pPr>
      <w:r>
        <w:rPr>
          <w:rFonts w:ascii="Times New Roman"/>
          <w:b w:val="false"/>
          <w:i w:val="false"/>
          <w:color w:val="000000"/>
          <w:sz w:val="28"/>
        </w:rPr>
        <w:t>
      Например, в случае Словакии, когда отношение долга к ВВП достигает 50 %, министр финансов обязан разъяснить парламенту причины увеличения и предложить меры по сокращению долга. На уровне 53 % ВВП кабинет министров должен принять пакет мер по сокращению долга и замораживанию заработной платы. При уровне 55 % расходы будут автоматически сокращены на 3 %, а бюджетные расходы в следующем году будут заморожены, за исключением тех, которые софинансированы фондами ЕС. При 57 % ВВП кабинет министров должен представить сбалансированный бюджет. В идеале более поздние триггерные точки не потребуются, если эффективные действия будут предприняты раньше.</w:t>
      </w:r>
    </w:p>
    <w:bookmarkEnd w:id="295"/>
    <w:bookmarkStart w:name="z314" w:id="296"/>
    <w:p>
      <w:pPr>
        <w:spacing w:after="0"/>
        <w:ind w:left="0"/>
        <w:jc w:val="both"/>
      </w:pPr>
      <w:r>
        <w:rPr>
          <w:rFonts w:ascii="Times New Roman"/>
          <w:b w:val="false"/>
          <w:i w:val="false"/>
          <w:color w:val="000000"/>
          <w:sz w:val="28"/>
        </w:rPr>
        <w:t xml:space="preserve">
      </w:t>
      </w:r>
      <w:r>
        <w:rPr>
          <w:rFonts w:ascii="Times New Roman"/>
          <w:b/>
          <w:i w:val="false"/>
          <w:color w:val="000000"/>
          <w:sz w:val="28"/>
        </w:rPr>
        <w:t>Вспомогательные договоренности</w:t>
      </w:r>
    </w:p>
    <w:bookmarkEnd w:id="296"/>
    <w:bookmarkStart w:name="z315" w:id="297"/>
    <w:p>
      <w:pPr>
        <w:spacing w:after="0"/>
        <w:ind w:left="0"/>
        <w:jc w:val="both"/>
      </w:pPr>
      <w:r>
        <w:rPr>
          <w:rFonts w:ascii="Times New Roman"/>
          <w:b w:val="false"/>
          <w:i w:val="false"/>
          <w:color w:val="000000"/>
          <w:sz w:val="28"/>
        </w:rPr>
        <w:t>
      Эффективное выполнение и мониторинг фискальных правил часто требуют ряда вспомогательных механизмов и хорошего институционального потенциала.</w:t>
      </w:r>
    </w:p>
    <w:bookmarkEnd w:id="297"/>
    <w:bookmarkStart w:name="z316" w:id="298"/>
    <w:p>
      <w:pPr>
        <w:spacing w:after="0"/>
        <w:ind w:left="0"/>
        <w:jc w:val="both"/>
      </w:pPr>
      <w:r>
        <w:rPr>
          <w:rFonts w:ascii="Times New Roman"/>
          <w:b w:val="false"/>
          <w:i w:val="false"/>
          <w:color w:val="000000"/>
          <w:sz w:val="28"/>
        </w:rPr>
        <w:t>
      Среднесрочные бюджетные рамки, такие как те, которые используются в Австралии, Франции, Швеции и Соединенном Королевстве, устанавливают приоритеты, представляют и управляют как доходами, так и расходами в течение многолетних рамок на том же уровне, что и бюджетные ассигнования. Это позволяет правительствам продемонстрировать влияние текущей и предлагаемой политики в течение нескольких лет, установить будущие бюджетные приоритеты и в конечном итоге добиться лучшего контроля над государственными расходами.</w:t>
      </w:r>
    </w:p>
    <w:bookmarkEnd w:id="298"/>
    <w:bookmarkStart w:name="z317" w:id="299"/>
    <w:p>
      <w:pPr>
        <w:spacing w:after="0"/>
        <w:ind w:left="0"/>
        <w:jc w:val="both"/>
      </w:pPr>
      <w:r>
        <w:rPr>
          <w:rFonts w:ascii="Times New Roman"/>
          <w:b w:val="false"/>
          <w:i w:val="false"/>
          <w:color w:val="000000"/>
          <w:sz w:val="28"/>
        </w:rPr>
        <w:t>
      Эффективные системы исполнения бюджета, такие как контроль обязательств, мониторинг просроченной задолженности и системы управления денежными средствами необходимы для того, чтобы результаты бюджета соответствовали бюджетным ассигнованиям.</w:t>
      </w:r>
    </w:p>
    <w:bookmarkEnd w:id="299"/>
    <w:bookmarkStart w:name="z318" w:id="300"/>
    <w:p>
      <w:pPr>
        <w:spacing w:after="0"/>
        <w:ind w:left="0"/>
        <w:jc w:val="both"/>
      </w:pPr>
      <w:r>
        <w:rPr>
          <w:rFonts w:ascii="Times New Roman"/>
          <w:b w:val="false"/>
          <w:i w:val="false"/>
          <w:color w:val="000000"/>
          <w:sz w:val="28"/>
        </w:rPr>
        <w:t>
      Налогово-бюджетные правила могут поддерживаться законами о финансовой ответственности, которые обычно устанавливают процедурные требования и требования прозрачности, а в некоторых случаях также численные правила.</w:t>
      </w:r>
    </w:p>
    <w:bookmarkEnd w:id="300"/>
    <w:bookmarkStart w:name="z319" w:id="301"/>
    <w:p>
      <w:pPr>
        <w:spacing w:after="0"/>
        <w:ind w:left="0"/>
        <w:jc w:val="both"/>
      </w:pPr>
      <w:r>
        <w:rPr>
          <w:rFonts w:ascii="Times New Roman"/>
          <w:b w:val="false"/>
          <w:i w:val="false"/>
          <w:color w:val="000000"/>
          <w:sz w:val="28"/>
        </w:rPr>
        <w:t>
      В некоторых странах, например, в Перу, Испании законы о фискальной ответственности содержат конкретные числовые цели национальных фискальных правил. В других странах (например, в Австралии и Новой Зеландии) законы о финансовой ответственности больше фокусируются на процедурных аспектах, устанавливают требования прозрачности и необходимость того, чтобы правительство подробно описывало фискальную стратегию в бюджетных документах.</w:t>
      </w:r>
    </w:p>
    <w:bookmarkEnd w:id="301"/>
    <w:bookmarkStart w:name="z320" w:id="302"/>
    <w:p>
      <w:pPr>
        <w:spacing w:after="0"/>
        <w:ind w:left="0"/>
        <w:jc w:val="both"/>
      </w:pPr>
      <w:r>
        <w:rPr>
          <w:rFonts w:ascii="Times New Roman"/>
          <w:b w:val="false"/>
          <w:i w:val="false"/>
          <w:color w:val="000000"/>
          <w:sz w:val="28"/>
        </w:rPr>
        <w:t>
      Все большее число стран с развитой экономикой используют независимые органы для дальнейшего повышения доверия к своим финансовым правилам.</w:t>
      </w:r>
    </w:p>
    <w:bookmarkEnd w:id="302"/>
    <w:bookmarkStart w:name="z321" w:id="303"/>
    <w:p>
      <w:pPr>
        <w:spacing w:after="0"/>
        <w:ind w:left="0"/>
        <w:jc w:val="both"/>
      </w:pPr>
      <w:r>
        <w:rPr>
          <w:rFonts w:ascii="Times New Roman"/>
          <w:b w:val="false"/>
          <w:i w:val="false"/>
          <w:color w:val="000000"/>
          <w:sz w:val="28"/>
        </w:rPr>
        <w:t>
      Одним из примеров является Шведский совет по налогово-бюджетной политике, который следит за соблюдением правила бюджетного баланса, оценивает, соответствует ли текущая налогово-бюджетная политика устойчивости бюджета, а также оценивает прозрачность бюджета и качество прогнозов. Налоговые советы или независимые комитеты также могут предоставить ключевые бюджетные предположения и методологии, например, для расчета потенциального ВВП и справочных цен на сырьевые товары в Чили, которые являются ключевыми факторами при выполнении правил. После кризиса некоторые страны создали фискальные советы (Ирландия, Португалия, Румыния, Соединенное Королевство).</w:t>
      </w:r>
    </w:p>
    <w:bookmarkEnd w:id="303"/>
    <w:bookmarkStart w:name="z322" w:id="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Опыт по разработке отчета о бюджетных рисках и долгосрочной устойчивости государственных финансов </w:t>
      </w:r>
      <w:r>
        <w:rPr>
          <w:rFonts w:ascii="Times New Roman"/>
          <w:b w:val="false"/>
          <w:i w:val="false"/>
          <w:color w:val="000000"/>
          <w:sz w:val="28"/>
        </w:rPr>
        <w:t>показывает, что в отдельных странах-членах ОЭСР по отдельности как самостоятельные документы формируются:</w:t>
      </w:r>
    </w:p>
    <w:bookmarkEnd w:id="304"/>
    <w:bookmarkStart w:name="z323" w:id="305"/>
    <w:p>
      <w:pPr>
        <w:spacing w:after="0"/>
        <w:ind w:left="0"/>
        <w:jc w:val="both"/>
      </w:pPr>
      <w:r>
        <w:rPr>
          <w:rFonts w:ascii="Times New Roman"/>
          <w:b w:val="false"/>
          <w:i w:val="false"/>
          <w:color w:val="000000"/>
          <w:sz w:val="28"/>
        </w:rPr>
        <w:t>
      1) отчет о фискальных (бюджетных) рисках;</w:t>
      </w:r>
    </w:p>
    <w:bookmarkEnd w:id="305"/>
    <w:bookmarkStart w:name="z324" w:id="306"/>
    <w:p>
      <w:pPr>
        <w:spacing w:after="0"/>
        <w:ind w:left="0"/>
        <w:jc w:val="both"/>
      </w:pPr>
      <w:r>
        <w:rPr>
          <w:rFonts w:ascii="Times New Roman"/>
          <w:b w:val="false"/>
          <w:i w:val="false"/>
          <w:color w:val="000000"/>
          <w:sz w:val="28"/>
        </w:rPr>
        <w:t>
      2) отчет о долгосрочной устойчивости.</w:t>
      </w:r>
    </w:p>
    <w:bookmarkEnd w:id="306"/>
    <w:bookmarkStart w:name="z325" w:id="307"/>
    <w:p>
      <w:pPr>
        <w:spacing w:after="0"/>
        <w:ind w:left="0"/>
        <w:jc w:val="both"/>
      </w:pPr>
      <w:r>
        <w:rPr>
          <w:rFonts w:ascii="Times New Roman"/>
          <w:b w:val="false"/>
          <w:i w:val="false"/>
          <w:color w:val="000000"/>
          <w:sz w:val="28"/>
        </w:rPr>
        <w:t>
      Отчет о бюджетных рисках (далее - ОБР) выступает финальным (конечным) компонентом системы управления бюджетными рисками, которая также включает определение и анализ рисков (шаг 1); снижение рисков (шаг 2); создание провизий/резервов (шаг 3); работу с остаточными рисками (шаг 4).</w:t>
      </w:r>
    </w:p>
    <w:bookmarkEnd w:id="307"/>
    <w:bookmarkStart w:name="z326" w:id="308"/>
    <w:p>
      <w:pPr>
        <w:spacing w:after="0"/>
        <w:ind w:left="0"/>
        <w:jc w:val="both"/>
      </w:pPr>
      <w:r>
        <w:rPr>
          <w:rFonts w:ascii="Times New Roman"/>
          <w:b w:val="false"/>
          <w:i w:val="false"/>
          <w:color w:val="000000"/>
          <w:sz w:val="28"/>
        </w:rPr>
        <w:t>
      При этом основными принципами системы управления бюджетными рисками являются:</w:t>
      </w:r>
    </w:p>
    <w:bookmarkEnd w:id="308"/>
    <w:bookmarkStart w:name="z327" w:id="309"/>
    <w:p>
      <w:pPr>
        <w:spacing w:after="0"/>
        <w:ind w:left="0"/>
        <w:jc w:val="both"/>
      </w:pPr>
      <w:r>
        <w:rPr>
          <w:rFonts w:ascii="Times New Roman"/>
          <w:b w:val="false"/>
          <w:i w:val="false"/>
          <w:color w:val="000000"/>
          <w:sz w:val="28"/>
        </w:rPr>
        <w:t>
      выбор мер политики с учетом максимально приемлемого уровня риска;</w:t>
      </w:r>
    </w:p>
    <w:bookmarkEnd w:id="309"/>
    <w:bookmarkStart w:name="z328" w:id="310"/>
    <w:p>
      <w:pPr>
        <w:spacing w:after="0"/>
        <w:ind w:left="0"/>
        <w:jc w:val="both"/>
      </w:pPr>
      <w:r>
        <w:rPr>
          <w:rFonts w:ascii="Times New Roman"/>
          <w:b w:val="false"/>
          <w:i w:val="false"/>
          <w:color w:val="000000"/>
          <w:sz w:val="28"/>
        </w:rPr>
        <w:t>
      закрепление рисков за органами, имеющими наибольшие возможности для управления рисками;</w:t>
      </w:r>
    </w:p>
    <w:bookmarkEnd w:id="310"/>
    <w:bookmarkStart w:name="z329" w:id="311"/>
    <w:p>
      <w:pPr>
        <w:spacing w:after="0"/>
        <w:ind w:left="0"/>
        <w:jc w:val="both"/>
      </w:pPr>
      <w:r>
        <w:rPr>
          <w:rFonts w:ascii="Times New Roman"/>
          <w:b w:val="false"/>
          <w:i w:val="false"/>
          <w:color w:val="000000"/>
          <w:sz w:val="28"/>
        </w:rPr>
        <w:t>
      выработка стратегии снижения рисков на основе анализа выгод/издержек и приоритетности рисков;</w:t>
      </w:r>
    </w:p>
    <w:bookmarkEnd w:id="311"/>
    <w:bookmarkStart w:name="z330" w:id="312"/>
    <w:p>
      <w:pPr>
        <w:spacing w:after="0"/>
        <w:ind w:left="0"/>
        <w:jc w:val="both"/>
      </w:pPr>
      <w:r>
        <w:rPr>
          <w:rFonts w:ascii="Times New Roman"/>
          <w:b w:val="false"/>
          <w:i w:val="false"/>
          <w:color w:val="000000"/>
          <w:sz w:val="28"/>
        </w:rPr>
        <w:t>
      устранение "риска злоупотреблений и иждивенчества".</w:t>
      </w:r>
    </w:p>
    <w:bookmarkEnd w:id="312"/>
    <w:bookmarkStart w:name="z331" w:id="313"/>
    <w:p>
      <w:pPr>
        <w:spacing w:after="0"/>
        <w:ind w:left="0"/>
        <w:jc w:val="both"/>
      </w:pPr>
      <w:r>
        <w:rPr>
          <w:rFonts w:ascii="Times New Roman"/>
          <w:b w:val="false"/>
          <w:i w:val="false"/>
          <w:color w:val="000000"/>
          <w:sz w:val="28"/>
        </w:rPr>
        <w:t>
      В ОБР определяются потенциальные риски для бюджетных прогнозов, способные приводить к проблемам для бюджетного управления и устойчивости в средне-и долгосрочной перспективе.</w:t>
      </w:r>
    </w:p>
    <w:bookmarkEnd w:id="313"/>
    <w:bookmarkStart w:name="z332" w:id="314"/>
    <w:p>
      <w:pPr>
        <w:spacing w:after="0"/>
        <w:ind w:left="0"/>
        <w:jc w:val="both"/>
      </w:pPr>
      <w:r>
        <w:rPr>
          <w:rFonts w:ascii="Times New Roman"/>
          <w:b w:val="false"/>
          <w:i w:val="false"/>
          <w:color w:val="000000"/>
          <w:sz w:val="28"/>
        </w:rPr>
        <w:t>
      Согласно международной практике в ОБР определяются потенциальные риски для макроэкономической конъюнктуры, поскольку макроэкономические риски возникают часто и приводят к значительному эффекту на бюджетную позицию.</w:t>
      </w:r>
    </w:p>
    <w:bookmarkEnd w:id="314"/>
    <w:bookmarkStart w:name="z333" w:id="315"/>
    <w:p>
      <w:pPr>
        <w:spacing w:after="0"/>
        <w:ind w:left="0"/>
        <w:jc w:val="both"/>
      </w:pPr>
      <w:r>
        <w:rPr>
          <w:rFonts w:ascii="Times New Roman"/>
          <w:b w:val="false"/>
          <w:i w:val="false"/>
          <w:color w:val="000000"/>
          <w:sz w:val="28"/>
        </w:rPr>
        <w:t>
      Отдельными странами-членами ОЭСР реализован анализ бюджетных рисков, в котором раскрываются результаты либо в виде отдельных глав/разделов ежегодной бюджетной документации, либо в виде самостоятельного документа. Такие страны, как Филиппины, Грузия, Руанда, Уганда и Гана также выпускают ОБР, Южно-Африканская Республика и Кения раскрывают анализ бюджетных рисков в ежегодном отчете о бюджетной политике.</w:t>
      </w:r>
    </w:p>
    <w:bookmarkEnd w:id="315"/>
    <w:bookmarkStart w:name="z334" w:id="316"/>
    <w:p>
      <w:pPr>
        <w:spacing w:after="0"/>
        <w:ind w:left="0"/>
        <w:jc w:val="both"/>
      </w:pPr>
      <w:r>
        <w:rPr>
          <w:rFonts w:ascii="Times New Roman"/>
          <w:b w:val="false"/>
          <w:i w:val="false"/>
          <w:color w:val="000000"/>
          <w:sz w:val="28"/>
        </w:rPr>
        <w:t>
      Структура ОБР для многих стран в общем схожа и включает: четкое описание прошлых макроэкономических шоков и механизмов передачи воздействия на экономику; описание эффектов на компоненты бюджета (доходную и расходную части); анализ прогнозных погрешностей; расчет различных макроэкономических сценариев и/или приблизительных эмпирических эффектов; описание рисков по условным обязательствам; описание прочих рисков.</w:t>
      </w:r>
    </w:p>
    <w:bookmarkEnd w:id="316"/>
    <w:bookmarkStart w:name="z335" w:id="317"/>
    <w:p>
      <w:pPr>
        <w:spacing w:after="0"/>
        <w:ind w:left="0"/>
        <w:jc w:val="both"/>
      </w:pPr>
      <w:r>
        <w:rPr>
          <w:rFonts w:ascii="Times New Roman"/>
          <w:b w:val="false"/>
          <w:i w:val="false"/>
          <w:color w:val="000000"/>
          <w:sz w:val="28"/>
        </w:rPr>
        <w:t>
      Отдельные страны наряду с анализом о бюджетных рисках также выпускают анализ долгосрочной бюджетной устойчивости, которые, как правило, публикуется в виде самостоятельного документа с меньшей периодичностью, чем ОБР.</w:t>
      </w:r>
    </w:p>
    <w:bookmarkEnd w:id="317"/>
    <w:bookmarkStart w:name="z336" w:id="318"/>
    <w:p>
      <w:pPr>
        <w:spacing w:after="0"/>
        <w:ind w:left="0"/>
        <w:jc w:val="both"/>
      </w:pPr>
      <w:r>
        <w:rPr>
          <w:rFonts w:ascii="Times New Roman"/>
          <w:b w:val="false"/>
          <w:i w:val="false"/>
          <w:color w:val="000000"/>
          <w:sz w:val="28"/>
        </w:rPr>
        <w:t>
      Отчет о долгосрочной бюджетной устойчивости (далее - ОДБУ) разрабатывается для определения трендов базовых показателей роста ВВП, расходов и доходов бюджета, которые могут негативно отразиться на бюджетной позиции в период, превышающий горизонты кратко- и среднесрочного экономического прогнозирования. Например, эффект старения населения на рост ВВП и в особенности на расходы по пенсионному обеспечению и здравоохранению. В 2012 году Министерство финансов Канады разработало долгосрочный фискальный прогноз до 2050 года по пенсионным выплатам и долгу страны "Отчет о влиянии старения населения на экономические и фискальные показатели" (Economic and Fiscal Implications of Canada's Aging Population).</w:t>
      </w:r>
    </w:p>
    <w:bookmarkEnd w:id="318"/>
    <w:bookmarkStart w:name="z337" w:id="319"/>
    <w:p>
      <w:pPr>
        <w:spacing w:after="0"/>
        <w:ind w:left="0"/>
        <w:jc w:val="both"/>
      </w:pPr>
      <w:r>
        <w:rPr>
          <w:rFonts w:ascii="Times New Roman"/>
          <w:b w:val="false"/>
          <w:i w:val="false"/>
          <w:color w:val="000000"/>
          <w:sz w:val="28"/>
        </w:rPr>
        <w:t>
      Кроме того, формирование аналитических отчетов о бюджетных рисках и долгосрочной устойчивости государственных финансов повысит осведомленность Правительства Республики Казахстан и общественности о масштабах и источниках бюджетных рисков для государственных финансов, усилит стимулы для принятия мер по сдерживанию рисков, а также будет способствовать повышению эффективности и результативности решений Правительства Республики Казахстан в вопросах управления государственными средствами и уровня доверия со стороны инвесторов и населения.</w:t>
      </w:r>
    </w:p>
    <w:bookmarkEnd w:id="319"/>
    <w:bookmarkStart w:name="z338" w:id="320"/>
    <w:p>
      <w:pPr>
        <w:spacing w:after="0"/>
        <w:ind w:left="0"/>
        <w:jc w:val="both"/>
      </w:pPr>
      <w:r>
        <w:rPr>
          <w:rFonts w:ascii="Times New Roman"/>
          <w:b w:val="false"/>
          <w:i w:val="false"/>
          <w:color w:val="000000"/>
          <w:sz w:val="28"/>
        </w:rPr>
        <w:t xml:space="preserve">
      </w:t>
      </w:r>
      <w:r>
        <w:rPr>
          <w:rFonts w:ascii="Times New Roman"/>
          <w:b/>
          <w:i w:val="false"/>
          <w:color w:val="000000"/>
          <w:sz w:val="28"/>
        </w:rPr>
        <w:t>Опыт применения блочного бюджета</w:t>
      </w:r>
    </w:p>
    <w:bookmarkEnd w:id="320"/>
    <w:bookmarkStart w:name="z339" w:id="321"/>
    <w:p>
      <w:pPr>
        <w:spacing w:after="0"/>
        <w:ind w:left="0"/>
        <w:jc w:val="both"/>
      </w:pPr>
      <w:r>
        <w:rPr>
          <w:rFonts w:ascii="Times New Roman"/>
          <w:b w:val="false"/>
          <w:i w:val="false"/>
          <w:color w:val="000000"/>
          <w:sz w:val="28"/>
        </w:rPr>
        <w:t>
      Опыт применения блочного бюджета наиболее применим в бюджетной системе Республики Сингапур. Здесь действует система "бюджетных блоков" или "блочного бюджета" (Block-budget) для каждого из министерств. Этот "блок" формируется на долгосрочную перспективу с учетом расходов последних семи лет.</w:t>
      </w:r>
    </w:p>
    <w:bookmarkEnd w:id="321"/>
    <w:bookmarkStart w:name="z340" w:id="322"/>
    <w:p>
      <w:pPr>
        <w:spacing w:after="0"/>
        <w:ind w:left="0"/>
        <w:jc w:val="both"/>
      </w:pPr>
      <w:r>
        <w:rPr>
          <w:rFonts w:ascii="Times New Roman"/>
          <w:b w:val="false"/>
          <w:i w:val="false"/>
          <w:color w:val="000000"/>
          <w:sz w:val="28"/>
        </w:rPr>
        <w:t>
      Такой блок устанавливается в бюджете как доля в ВВП, то есть объем бюджета каждого министерства определен в виде процента от ВВП. Например, потолок Министерства образования может быть эквивалентен 4 % к ВВП в год.</w:t>
      </w:r>
    </w:p>
    <w:bookmarkEnd w:id="322"/>
    <w:bookmarkStart w:name="z341" w:id="323"/>
    <w:p>
      <w:pPr>
        <w:spacing w:after="0"/>
        <w:ind w:left="0"/>
        <w:jc w:val="both"/>
      </w:pPr>
      <w:r>
        <w:rPr>
          <w:rFonts w:ascii="Times New Roman"/>
          <w:b w:val="false"/>
          <w:i w:val="false"/>
          <w:color w:val="000000"/>
          <w:sz w:val="28"/>
        </w:rPr>
        <w:t>
      В рамках "блока" министерства обладают самостоятельностью в определении окончательных объемов средств между различными видами деятельности, т.е. распределение расходов внутри одного министерства происходит по усмотрению самого министерства.</w:t>
      </w:r>
    </w:p>
    <w:bookmarkEnd w:id="323"/>
    <w:bookmarkStart w:name="z342" w:id="324"/>
    <w:p>
      <w:pPr>
        <w:spacing w:after="0"/>
        <w:ind w:left="0"/>
        <w:jc w:val="both"/>
      </w:pPr>
      <w:r>
        <w:rPr>
          <w:rFonts w:ascii="Times New Roman"/>
          <w:b w:val="false"/>
          <w:i w:val="false"/>
          <w:color w:val="000000"/>
          <w:sz w:val="28"/>
        </w:rPr>
        <w:t>
      В ходе исполнения бюджета администраторы бюджетных программ имеют полную автономность по управлению средствами, нет необходимости согласования перераспределения средств в рамках бюджетного "блока".</w:t>
      </w:r>
    </w:p>
    <w:bookmarkEnd w:id="324"/>
    <w:bookmarkStart w:name="z343" w:id="325"/>
    <w:p>
      <w:pPr>
        <w:spacing w:after="0"/>
        <w:ind w:left="0"/>
        <w:jc w:val="both"/>
      </w:pPr>
      <w:r>
        <w:rPr>
          <w:rFonts w:ascii="Times New Roman"/>
          <w:b w:val="false"/>
          <w:i w:val="false"/>
          <w:color w:val="000000"/>
          <w:sz w:val="28"/>
        </w:rPr>
        <w:t>
      В течение пятилетнего планового периода министерства могут занимать средства в течение одного года за счет ассигнований в последующие годы и откладывать ассигнования в течение одного года на следующий год. В течение пятилетнего периода лимит расходов фиксирован, но каждый отдельный год является переменным.</w:t>
      </w:r>
    </w:p>
    <w:bookmarkEnd w:id="325"/>
    <w:bookmarkStart w:name="z344" w:id="326"/>
    <w:p>
      <w:pPr>
        <w:spacing w:after="0"/>
        <w:ind w:left="0"/>
        <w:jc w:val="both"/>
      </w:pPr>
      <w:r>
        <w:rPr>
          <w:rFonts w:ascii="Times New Roman"/>
          <w:b w:val="false"/>
          <w:i w:val="false"/>
          <w:color w:val="000000"/>
          <w:sz w:val="28"/>
        </w:rPr>
        <w:t>
      Преимуществом блочного бюджета является то, что такой механизм обеспечивает большую предсказуемость и более стабильную структуру расходов бюджета.</w:t>
      </w:r>
    </w:p>
    <w:bookmarkEnd w:id="326"/>
    <w:bookmarkStart w:name="z345" w:id="327"/>
    <w:p>
      <w:pPr>
        <w:spacing w:after="0"/>
        <w:ind w:left="0"/>
        <w:jc w:val="both"/>
      </w:pPr>
      <w:r>
        <w:rPr>
          <w:rFonts w:ascii="Times New Roman"/>
          <w:b w:val="false"/>
          <w:i w:val="false"/>
          <w:color w:val="000000"/>
          <w:sz w:val="28"/>
        </w:rPr>
        <w:t>
      Опыт стран ОЭСР в применении обзоров бюджетных расходов</w:t>
      </w:r>
    </w:p>
    <w:bookmarkEnd w:id="327"/>
    <w:bookmarkStart w:name="z346" w:id="328"/>
    <w:p>
      <w:pPr>
        <w:spacing w:after="0"/>
        <w:ind w:left="0"/>
        <w:jc w:val="both"/>
      </w:pPr>
      <w:r>
        <w:rPr>
          <w:rFonts w:ascii="Times New Roman"/>
          <w:b w:val="false"/>
          <w:i w:val="false"/>
          <w:color w:val="000000"/>
          <w:sz w:val="28"/>
        </w:rPr>
        <w:t>
      Обзоры расходов широко используются в странах ОЭСР, но различаются по своим масштабам и целям.</w:t>
      </w:r>
    </w:p>
    <w:bookmarkEnd w:id="328"/>
    <w:bookmarkStart w:name="z347" w:id="329"/>
    <w:p>
      <w:pPr>
        <w:spacing w:after="0"/>
        <w:ind w:left="0"/>
        <w:jc w:val="both"/>
      </w:pPr>
      <w:r>
        <w:rPr>
          <w:rFonts w:ascii="Times New Roman"/>
          <w:b w:val="false"/>
          <w:i w:val="false"/>
          <w:color w:val="000000"/>
          <w:sz w:val="28"/>
        </w:rPr>
        <w:t>
      Один тип - это "всеобъемлющий" обзор расходов. Обычно он осуществляется, когда есть необходимость в большом сокращении общих расходов или для стратегического перераспределения расходов в соответствии с политическими целями. Примерами "всеобъемлющего" подхода являются Великобритания и Ирландия, которые использовали этот подход, чтобы добиться общих сокращений в периоды жесткой экономии. Более стандартный подход, применяемый в Канаде, Дании и Нидерландах, заключается в проведении более ограниченных обзоров расходов отрасли или программы. Существуют также примеры горизонтальных обзоров в таких областях, как расходы на инновации или управление основными средствами правительства.</w:t>
      </w:r>
    </w:p>
    <w:bookmarkEnd w:id="329"/>
    <w:bookmarkStart w:name="z348" w:id="330"/>
    <w:p>
      <w:pPr>
        <w:spacing w:after="0"/>
        <w:ind w:left="0"/>
        <w:jc w:val="both"/>
      </w:pPr>
      <w:r>
        <w:rPr>
          <w:rFonts w:ascii="Times New Roman"/>
          <w:b w:val="false"/>
          <w:i w:val="false"/>
          <w:color w:val="000000"/>
          <w:sz w:val="28"/>
        </w:rPr>
        <w:t>
      Помимо определения возможностей для эффективной экономии или перераспределения средств на другие отрасли такие обзоры также могут играть роль в проверке согласованности существующих расходов со стратегическими приоритетами и целями правительства.</w:t>
      </w:r>
    </w:p>
    <w:bookmarkEnd w:id="330"/>
    <w:bookmarkStart w:name="z349" w:id="331"/>
    <w:p>
      <w:pPr>
        <w:spacing w:after="0"/>
        <w:ind w:left="0"/>
        <w:jc w:val="both"/>
      </w:pPr>
      <w:r>
        <w:rPr>
          <w:rFonts w:ascii="Times New Roman"/>
          <w:b w:val="false"/>
          <w:i w:val="false"/>
          <w:color w:val="000000"/>
          <w:sz w:val="28"/>
        </w:rPr>
        <w:t>
      Обзоры бюджетных расходов позволяют:</w:t>
      </w:r>
    </w:p>
    <w:bookmarkEnd w:id="331"/>
    <w:bookmarkStart w:name="z350" w:id="332"/>
    <w:p>
      <w:pPr>
        <w:spacing w:after="0"/>
        <w:ind w:left="0"/>
        <w:jc w:val="both"/>
      </w:pPr>
      <w:r>
        <w:rPr>
          <w:rFonts w:ascii="Times New Roman"/>
          <w:b w:val="false"/>
          <w:i w:val="false"/>
          <w:color w:val="000000"/>
          <w:sz w:val="28"/>
        </w:rPr>
        <w:t>
      поддерживать оптимальные объем и структуру расходов на реализацию функций и обязательств постоянного характера;</w:t>
      </w:r>
    </w:p>
    <w:bookmarkEnd w:id="332"/>
    <w:bookmarkStart w:name="z351" w:id="333"/>
    <w:p>
      <w:pPr>
        <w:spacing w:after="0"/>
        <w:ind w:left="0"/>
        <w:jc w:val="both"/>
      </w:pPr>
      <w:r>
        <w:rPr>
          <w:rFonts w:ascii="Times New Roman"/>
          <w:b w:val="false"/>
          <w:i w:val="false"/>
          <w:color w:val="000000"/>
          <w:sz w:val="28"/>
        </w:rPr>
        <w:t>
      стимулировать администраторов бюджетных средств к поиску внутренних резервов оптимизации бюджетных расходов в целях обеспечения финансирования приоритетных направлений государственной политики;</w:t>
      </w:r>
    </w:p>
    <w:bookmarkEnd w:id="333"/>
    <w:bookmarkStart w:name="z352" w:id="334"/>
    <w:p>
      <w:pPr>
        <w:spacing w:after="0"/>
        <w:ind w:left="0"/>
        <w:jc w:val="both"/>
      </w:pPr>
      <w:r>
        <w:rPr>
          <w:rFonts w:ascii="Times New Roman"/>
          <w:b w:val="false"/>
          <w:i w:val="false"/>
          <w:color w:val="000000"/>
          <w:sz w:val="28"/>
        </w:rPr>
        <w:t>
      отойти от традиционного планирования объемов бюджетных ассигнований без постоянной оценки целесообразности и актуальности соответствующих мероприятий, механизмов их реализации и финансового обеспечения, результатов и наличия альтернативных инструментов по достижению целей государственной политики;</w:t>
      </w:r>
    </w:p>
    <w:bookmarkEnd w:id="334"/>
    <w:bookmarkStart w:name="z353" w:id="335"/>
    <w:p>
      <w:pPr>
        <w:spacing w:after="0"/>
        <w:ind w:left="0"/>
        <w:jc w:val="both"/>
      </w:pPr>
      <w:r>
        <w:rPr>
          <w:rFonts w:ascii="Times New Roman"/>
          <w:b w:val="false"/>
          <w:i w:val="false"/>
          <w:color w:val="000000"/>
          <w:sz w:val="28"/>
        </w:rPr>
        <w:t>
      минимизировать практику линейного сокращения бюджетных расходов в случае ухудшения сбалансированности бюджета;</w:t>
      </w:r>
    </w:p>
    <w:bookmarkEnd w:id="335"/>
    <w:bookmarkStart w:name="z354" w:id="336"/>
    <w:p>
      <w:pPr>
        <w:spacing w:after="0"/>
        <w:ind w:left="0"/>
        <w:jc w:val="both"/>
      </w:pPr>
      <w:r>
        <w:rPr>
          <w:rFonts w:ascii="Times New Roman"/>
          <w:b w:val="false"/>
          <w:i w:val="false"/>
          <w:color w:val="000000"/>
          <w:sz w:val="28"/>
        </w:rPr>
        <w:t>
      в долгосрочной перспективе - поддерживать структуру бюджетных расходов в состоянии, наиболее близком к оптимальному с точки зрения финансовой и социально-экономической целесообразности.</w:t>
      </w:r>
    </w:p>
    <w:bookmarkEnd w:id="336"/>
    <w:bookmarkStart w:name="z355" w:id="337"/>
    <w:p>
      <w:pPr>
        <w:spacing w:after="0"/>
        <w:ind w:left="0"/>
        <w:jc w:val="both"/>
      </w:pPr>
      <w:r>
        <w:rPr>
          <w:rFonts w:ascii="Times New Roman"/>
          <w:b w:val="false"/>
          <w:i w:val="false"/>
          <w:color w:val="000000"/>
          <w:sz w:val="28"/>
        </w:rPr>
        <w:t>
      В отличие от Казахстана зарубежные страны при установлении ограничений на бюджетные обязательства для проектов ГЧП в основном ориентируются на ВВП страны.</w:t>
      </w:r>
    </w:p>
    <w:bookmarkEnd w:id="337"/>
    <w:bookmarkStart w:name="z356" w:id="338"/>
    <w:p>
      <w:pPr>
        <w:spacing w:after="0"/>
        <w:ind w:left="0"/>
        <w:jc w:val="both"/>
      </w:pPr>
      <w:r>
        <w:rPr>
          <w:rFonts w:ascii="Times New Roman"/>
          <w:b w:val="false"/>
          <w:i w:val="false"/>
          <w:color w:val="000000"/>
          <w:sz w:val="28"/>
        </w:rPr>
        <w:t>
      Международный опыт по использованию бюджетных правил, разработке отчета о бюджетных рисках и долгосрочной устойчивости государственных финансов, применению блочного бюджетирования и обзора расходов как новые методы и инструменты повышения устойчивости государственных финансов и эффективности бюджетной политики оцениваются положительно и предлагаются для применения при совершенствовании фискальной политики в Казахстане.</w:t>
      </w:r>
    </w:p>
    <w:bookmarkEnd w:id="338"/>
    <w:bookmarkStart w:name="z357" w:id="339"/>
    <w:p>
      <w:pPr>
        <w:spacing w:after="0"/>
        <w:ind w:left="0"/>
        <w:jc w:val="left"/>
      </w:pPr>
      <w:r>
        <w:rPr>
          <w:rFonts w:ascii="Times New Roman"/>
          <w:b/>
          <w:i w:val="false"/>
          <w:color w:val="000000"/>
        </w:rPr>
        <w:t xml:space="preserve"> Раздел 4.</w:t>
      </w:r>
      <w:r>
        <w:br/>
      </w:r>
      <w:r>
        <w:rPr>
          <w:rFonts w:ascii="Times New Roman"/>
          <w:b/>
          <w:i w:val="false"/>
          <w:color w:val="000000"/>
        </w:rPr>
        <w:t>Видение развития управления государственными финансами</w:t>
      </w:r>
    </w:p>
    <w:bookmarkEnd w:id="339"/>
    <w:bookmarkStart w:name="z358" w:id="340"/>
    <w:p>
      <w:pPr>
        <w:spacing w:after="0"/>
        <w:ind w:left="0"/>
        <w:jc w:val="both"/>
      </w:pPr>
      <w:r>
        <w:rPr>
          <w:rFonts w:ascii="Times New Roman"/>
          <w:b w:val="false"/>
          <w:i w:val="false"/>
          <w:color w:val="000000"/>
          <w:sz w:val="28"/>
        </w:rPr>
        <w:t>
      Основа бюджетно-налоговой политики должна обеспечивать макроэкономическую и бюджетную стабильность в краткосрочном периоде, способствовать достижению устойчивости бюджета в среднесрочном периоде и соответствовать долгосрочным целям Правительства в области развития.</w:t>
      </w:r>
    </w:p>
    <w:bookmarkEnd w:id="340"/>
    <w:bookmarkStart w:name="z359" w:id="341"/>
    <w:p>
      <w:pPr>
        <w:spacing w:after="0"/>
        <w:ind w:left="0"/>
        <w:jc w:val="both"/>
      </w:pPr>
      <w:r>
        <w:rPr>
          <w:rFonts w:ascii="Times New Roman"/>
          <w:b w:val="false"/>
          <w:i w:val="false"/>
          <w:color w:val="000000"/>
          <w:sz w:val="28"/>
        </w:rPr>
        <w:t>
      Темпы и масштабы восстановления мировой экономики остаются неопределенными. На фоне роста государственного долга и высоких бюджетных дефицитов доступ к внешнему финансированию в мире будет ограничен, и финансирование крупных дефицитов остается трудной задачей, учитывая ограниченные возможности увеличения доходов.</w:t>
      </w:r>
    </w:p>
    <w:bookmarkEnd w:id="341"/>
    <w:bookmarkStart w:name="z360" w:id="342"/>
    <w:p>
      <w:pPr>
        <w:spacing w:after="0"/>
        <w:ind w:left="0"/>
        <w:jc w:val="both"/>
      </w:pPr>
      <w:r>
        <w:rPr>
          <w:rFonts w:ascii="Times New Roman"/>
          <w:b w:val="false"/>
          <w:i w:val="false"/>
          <w:color w:val="000000"/>
          <w:sz w:val="28"/>
        </w:rPr>
        <w:t>
      Необходимо начать стратегию бюджетной консолидации. Для успешной консолидации бюджета необходимы:</w:t>
      </w:r>
    </w:p>
    <w:bookmarkEnd w:id="342"/>
    <w:bookmarkStart w:name="z361" w:id="343"/>
    <w:p>
      <w:pPr>
        <w:spacing w:after="0"/>
        <w:ind w:left="0"/>
        <w:jc w:val="both"/>
      </w:pPr>
      <w:r>
        <w:rPr>
          <w:rFonts w:ascii="Times New Roman"/>
          <w:b w:val="false"/>
          <w:i w:val="false"/>
          <w:color w:val="000000"/>
          <w:sz w:val="28"/>
        </w:rPr>
        <w:t>
      1) построение крепкого фундамента налогово-бюджетной политики;</w:t>
      </w:r>
    </w:p>
    <w:bookmarkEnd w:id="343"/>
    <w:bookmarkStart w:name="z362" w:id="344"/>
    <w:p>
      <w:pPr>
        <w:spacing w:after="0"/>
        <w:ind w:left="0"/>
        <w:jc w:val="both"/>
      </w:pPr>
      <w:r>
        <w:rPr>
          <w:rFonts w:ascii="Times New Roman"/>
          <w:b w:val="false"/>
          <w:i w:val="false"/>
          <w:color w:val="000000"/>
          <w:sz w:val="28"/>
        </w:rPr>
        <w:t>
      2) мобилизация ненефтяных доходов и пересмотр налоговой системы;</w:t>
      </w:r>
    </w:p>
    <w:bookmarkEnd w:id="344"/>
    <w:bookmarkStart w:name="z363" w:id="345"/>
    <w:p>
      <w:pPr>
        <w:spacing w:after="0"/>
        <w:ind w:left="0"/>
        <w:jc w:val="both"/>
      </w:pPr>
      <w:r>
        <w:rPr>
          <w:rFonts w:ascii="Times New Roman"/>
          <w:b w:val="false"/>
          <w:i w:val="false"/>
          <w:color w:val="000000"/>
          <w:sz w:val="28"/>
        </w:rPr>
        <w:t>
      3) сокращение низкоэффективных расходов, которые искажают стимулы для частного сектора, и перенаправление средств на расходы, повышающие производительность.</w:t>
      </w:r>
    </w:p>
    <w:bookmarkEnd w:id="345"/>
    <w:bookmarkStart w:name="z364" w:id="346"/>
    <w:p>
      <w:pPr>
        <w:spacing w:after="0"/>
        <w:ind w:left="0"/>
        <w:jc w:val="both"/>
      </w:pPr>
      <w:r>
        <w:rPr>
          <w:rFonts w:ascii="Times New Roman"/>
          <w:b w:val="false"/>
          <w:i w:val="false"/>
          <w:color w:val="000000"/>
          <w:sz w:val="28"/>
        </w:rPr>
        <w:t>
      Обеспечение сбалансированности бюджета через контрцикличный характер бюджетной политики подразумевает меры бюджетно-налоговой политики, которые противодействуют влиянию экономического цикла.</w:t>
      </w:r>
    </w:p>
    <w:bookmarkEnd w:id="346"/>
    <w:bookmarkStart w:name="z365" w:id="347"/>
    <w:p>
      <w:pPr>
        <w:spacing w:after="0"/>
        <w:ind w:left="0"/>
        <w:jc w:val="both"/>
      </w:pPr>
      <w:r>
        <w:rPr>
          <w:rFonts w:ascii="Times New Roman"/>
          <w:b w:val="false"/>
          <w:i w:val="false"/>
          <w:color w:val="000000"/>
          <w:sz w:val="28"/>
        </w:rPr>
        <w:t>
      При замедлении темпов роста экономики контрцикличные меры фискальной политики направлены на стимулирование экономического восстановления. Так, одной из таких мер является увеличение государственных расходов или снижение налогов. Контрцикличный характер бюджетной политики позволяет не только смягчить эффект от внешних макроэкономических шоков, но также создает дополнительные бюджетные резервы, когда страна переживает экономический подъем.</w:t>
      </w:r>
    </w:p>
    <w:bookmarkEnd w:id="347"/>
    <w:bookmarkStart w:name="z366" w:id="348"/>
    <w:p>
      <w:pPr>
        <w:spacing w:after="0"/>
        <w:ind w:left="0"/>
        <w:jc w:val="both"/>
      </w:pPr>
      <w:r>
        <w:rPr>
          <w:rFonts w:ascii="Times New Roman"/>
          <w:b w:val="false"/>
          <w:i w:val="false"/>
          <w:color w:val="000000"/>
          <w:sz w:val="28"/>
        </w:rPr>
        <w:t>
      Обеспечение устойчивости бюджета и снижение волатильности фискальной политики будут обеспечиваться за счет системы гибких бюджетных правил.</w:t>
      </w:r>
    </w:p>
    <w:bookmarkEnd w:id="348"/>
    <w:bookmarkStart w:name="z367" w:id="349"/>
    <w:p>
      <w:pPr>
        <w:spacing w:after="0"/>
        <w:ind w:left="0"/>
        <w:jc w:val="both"/>
      </w:pPr>
      <w:r>
        <w:rPr>
          <w:rFonts w:ascii="Times New Roman"/>
          <w:b w:val="false"/>
          <w:i w:val="false"/>
          <w:color w:val="000000"/>
          <w:sz w:val="28"/>
        </w:rPr>
        <w:t>
      Важным требованием к системе бюджетных правил является согласованность различных элементов правил между собой, при которых следование одному из правил способствует исполнению остальных.</w:t>
      </w:r>
    </w:p>
    <w:bookmarkEnd w:id="349"/>
    <w:bookmarkStart w:name="z368" w:id="350"/>
    <w:p>
      <w:pPr>
        <w:spacing w:after="0"/>
        <w:ind w:left="0"/>
        <w:jc w:val="both"/>
      </w:pPr>
      <w:r>
        <w:rPr>
          <w:rFonts w:ascii="Times New Roman"/>
          <w:b w:val="false"/>
          <w:i w:val="false"/>
          <w:color w:val="000000"/>
          <w:sz w:val="28"/>
        </w:rPr>
        <w:t>
      Бюджетное правило по гарантированному трансферту из НФРК позволит больше сберегать средств в НФРК при высоких ценах на нефть и поддерживать бюджет при низких ценах на нефть.</w:t>
      </w:r>
    </w:p>
    <w:bookmarkEnd w:id="350"/>
    <w:bookmarkStart w:name="z369" w:id="351"/>
    <w:p>
      <w:pPr>
        <w:spacing w:after="0"/>
        <w:ind w:left="0"/>
        <w:jc w:val="both"/>
      </w:pPr>
      <w:r>
        <w:rPr>
          <w:rFonts w:ascii="Times New Roman"/>
          <w:b w:val="false"/>
          <w:i w:val="false"/>
          <w:color w:val="000000"/>
          <w:sz w:val="28"/>
        </w:rPr>
        <w:t>
      Целевые показатели бюджетного баланса будут реализованы путем установления предельных значений расходов на среднесрочную перспективу.</w:t>
      </w:r>
    </w:p>
    <w:bookmarkEnd w:id="351"/>
    <w:bookmarkStart w:name="z370" w:id="352"/>
    <w:p>
      <w:pPr>
        <w:spacing w:after="0"/>
        <w:ind w:left="0"/>
        <w:jc w:val="both"/>
      </w:pPr>
      <w:r>
        <w:rPr>
          <w:rFonts w:ascii="Times New Roman"/>
          <w:b w:val="false"/>
          <w:i w:val="false"/>
          <w:color w:val="000000"/>
          <w:sz w:val="28"/>
        </w:rPr>
        <w:t>
      Пороговые значения расходов должны отражать предполагаемый путь по сокращению трансфертов из НФРК и удержанию уровня государственного долга на безопасных уровнях, реалистичные макроэкономические прогнозы и прогнозы доходов на соответствующий период.</w:t>
      </w:r>
    </w:p>
    <w:bookmarkEnd w:id="352"/>
    <w:bookmarkStart w:name="z371" w:id="353"/>
    <w:p>
      <w:pPr>
        <w:spacing w:after="0"/>
        <w:ind w:left="0"/>
        <w:jc w:val="both"/>
      </w:pPr>
      <w:r>
        <w:rPr>
          <w:rFonts w:ascii="Times New Roman"/>
          <w:b w:val="false"/>
          <w:i w:val="false"/>
          <w:color w:val="000000"/>
          <w:sz w:val="28"/>
        </w:rPr>
        <w:t>
      С 2023 года планируется установить верхний лимит темпов роста расходов республиканского бюджета, ограничивая их средним реальным ростом ВВП за предыдущие 10 лет, увеличенного на цель по инфляции. Ограничения темпов роста затем могут быть преобразованы в номинальные потолки расходов для всех бюджетных расходов.</w:t>
      </w:r>
    </w:p>
    <w:bookmarkEnd w:id="353"/>
    <w:bookmarkStart w:name="z372" w:id="354"/>
    <w:p>
      <w:pPr>
        <w:spacing w:after="0"/>
        <w:ind w:left="0"/>
        <w:jc w:val="both"/>
      </w:pPr>
      <w:r>
        <w:rPr>
          <w:rFonts w:ascii="Times New Roman"/>
          <w:b w:val="false"/>
          <w:i w:val="false"/>
          <w:color w:val="000000"/>
          <w:sz w:val="28"/>
        </w:rPr>
        <w:t>
      Принимая во внимание неопределенности, связанные с будущими потребностями в расходах и тенденциями, проистекающими из непредвиденных факторов (например, стихийные бедствия, неблагоприятные макроэкономические шоки, резкие падения цен на нефть и так далее), планируемые расходы должны быть установлены на более низком уровне, чем лимит расходов, чтобы гарантировать, что окончательные расходы не выйдут за предел порога. Этот резерв на случай непредвиденных обстоятельств будет определять запас маневра для Правительства, чтобы справиться с неожиданными расходами, а также величину ошибок прогнозирования.</w:t>
      </w:r>
    </w:p>
    <w:bookmarkEnd w:id="354"/>
    <w:bookmarkStart w:name="z373" w:id="355"/>
    <w:p>
      <w:pPr>
        <w:spacing w:after="0"/>
        <w:ind w:left="0"/>
        <w:jc w:val="both"/>
      </w:pPr>
      <w:r>
        <w:rPr>
          <w:rFonts w:ascii="Times New Roman"/>
          <w:b w:val="false"/>
          <w:i w:val="false"/>
          <w:color w:val="000000"/>
          <w:sz w:val="28"/>
        </w:rPr>
        <w:t>
      В Казахстане увеличение бюджетных дефицитов, снижение реального ВВП и ослабление национальной валюты, которые произошли в результате негативного влияния последствий пандемии коронавирусной инфекции COVID-19 на экономику страны, стали основными причинами роста долга.</w:t>
      </w:r>
    </w:p>
    <w:bookmarkEnd w:id="355"/>
    <w:bookmarkStart w:name="z374" w:id="356"/>
    <w:p>
      <w:pPr>
        <w:spacing w:after="0"/>
        <w:ind w:left="0"/>
        <w:jc w:val="both"/>
      </w:pPr>
      <w:r>
        <w:rPr>
          <w:rFonts w:ascii="Times New Roman"/>
          <w:b w:val="false"/>
          <w:i w:val="false"/>
          <w:color w:val="000000"/>
          <w:sz w:val="28"/>
        </w:rPr>
        <w:t>
      По итогам 2021 года уровень государственного долга составил 27,0 % к ВВП, при лимите 50 %, установленного для стран-участниц Евразийского экономического союза (далее - ЕАЭС).</w:t>
      </w:r>
    </w:p>
    <w:bookmarkEnd w:id="356"/>
    <w:bookmarkStart w:name="z375" w:id="357"/>
    <w:p>
      <w:pPr>
        <w:spacing w:after="0"/>
        <w:ind w:left="0"/>
        <w:jc w:val="both"/>
      </w:pPr>
      <w:r>
        <w:rPr>
          <w:rFonts w:ascii="Times New Roman"/>
          <w:b w:val="false"/>
          <w:i w:val="false"/>
          <w:color w:val="000000"/>
          <w:sz w:val="28"/>
        </w:rPr>
        <w:t>
      Согласно Договору о ЕАЭС в случае несоответствия данного индикатора количественным значениям, установленным Договором, государства-члены разрабатывают и реализуют меры, в том числе совместные, а также при необходимости учитывают рекомендации Евразийской экономической комиссии (далее - ЕЭК), направленные на стабилизацию экономической ситуации, в соответствии с порядком, утверждаемым ЕЭК.</w:t>
      </w:r>
    </w:p>
    <w:bookmarkEnd w:id="357"/>
    <w:bookmarkStart w:name="z376" w:id="358"/>
    <w:p>
      <w:pPr>
        <w:spacing w:after="0"/>
        <w:ind w:left="0"/>
        <w:jc w:val="both"/>
      </w:pPr>
      <w:r>
        <w:rPr>
          <w:rFonts w:ascii="Times New Roman"/>
          <w:b w:val="false"/>
          <w:i w:val="false"/>
          <w:color w:val="000000"/>
          <w:sz w:val="28"/>
        </w:rPr>
        <w:t>
      В целях недопущения превышения порогового значения, установленного договором о ЕАЭС, необходимо предусмотреть механизм промежуточных ограничений (автоматические долговые тормоза), по достижению которых автоматически инициируются определенные шаги, во избежание нарушения основного индикатора.</w:t>
      </w:r>
    </w:p>
    <w:bookmarkEnd w:id="358"/>
    <w:bookmarkStart w:name="z377" w:id="359"/>
    <w:p>
      <w:pPr>
        <w:spacing w:after="0"/>
        <w:ind w:left="0"/>
        <w:jc w:val="both"/>
      </w:pPr>
      <w:r>
        <w:rPr>
          <w:rFonts w:ascii="Times New Roman"/>
          <w:b w:val="false"/>
          <w:i w:val="false"/>
          <w:color w:val="000000"/>
          <w:sz w:val="28"/>
        </w:rPr>
        <w:t>
      В оценке долгосрочных цен на нефть, обеспечении мониторинга и контроля за выполнением фискальных правил активное участие будет принимать Совет по экономической политике (далее - СЭП). Участие СЭП поможет повысить строгость и прозрачность системы фискальных правил.</w:t>
      </w:r>
    </w:p>
    <w:bookmarkEnd w:id="359"/>
    <w:bookmarkStart w:name="z378" w:id="360"/>
    <w:p>
      <w:pPr>
        <w:spacing w:after="0"/>
        <w:ind w:left="0"/>
        <w:jc w:val="both"/>
      </w:pPr>
      <w:r>
        <w:rPr>
          <w:rFonts w:ascii="Times New Roman"/>
          <w:b w:val="false"/>
          <w:i w:val="false"/>
          <w:color w:val="000000"/>
          <w:sz w:val="28"/>
        </w:rPr>
        <w:t>
      Таким образом, будет создана эффективная система бюджетных правил, которая будет способствовать усилению макроэкономической стабильности, где каждое правило будет взаимосвязано дополнять друг друга.</w:t>
      </w:r>
    </w:p>
    <w:bookmarkEnd w:id="360"/>
    <w:bookmarkStart w:name="z379" w:id="361"/>
    <w:p>
      <w:pPr>
        <w:spacing w:after="0"/>
        <w:ind w:left="0"/>
        <w:jc w:val="both"/>
      </w:pPr>
      <w:r>
        <w:rPr>
          <w:rFonts w:ascii="Times New Roman"/>
          <w:b w:val="false"/>
          <w:i w:val="false"/>
          <w:color w:val="000000"/>
          <w:sz w:val="28"/>
        </w:rPr>
        <w:t>
      Помимо выстраивания эффективной системы бюджетных правил важнейшей задачей в области обеспечения устойчивости государственных финансов являются учет и анализ бюджетных рисков и долгосрочной устойчивости государственных финансов, отражаемых в аналитическом отчете о бюджетных рисках и долгосрочной устойчивости государственных финансов.</w:t>
      </w:r>
    </w:p>
    <w:bookmarkEnd w:id="361"/>
    <w:bookmarkStart w:name="z380" w:id="362"/>
    <w:p>
      <w:pPr>
        <w:spacing w:after="0"/>
        <w:ind w:left="0"/>
        <w:jc w:val="both"/>
      </w:pPr>
      <w:r>
        <w:rPr>
          <w:rFonts w:ascii="Times New Roman"/>
          <w:b w:val="false"/>
          <w:i w:val="false"/>
          <w:color w:val="000000"/>
          <w:sz w:val="28"/>
        </w:rPr>
        <w:t>
      В этой связи внедряемый с 2022 года аналитический отчет о бюджетных рисках и долгосрочной устойчивости государственных финансов должен содержать анализ макроэкономических, бюджетных, социальных и других</w:t>
      </w:r>
    </w:p>
    <w:bookmarkEnd w:id="362"/>
    <w:bookmarkStart w:name="z381" w:id="363"/>
    <w:p>
      <w:pPr>
        <w:spacing w:after="0"/>
        <w:ind w:left="0"/>
        <w:jc w:val="both"/>
      </w:pPr>
      <w:r>
        <w:rPr>
          <w:rFonts w:ascii="Times New Roman"/>
          <w:b w:val="false"/>
          <w:i w:val="false"/>
          <w:color w:val="000000"/>
          <w:sz w:val="28"/>
        </w:rPr>
        <w:t>
      рисков, которые влияют на устойчивость государственных финансов, а также рисков долгосрочного характера.</w:t>
      </w:r>
    </w:p>
    <w:bookmarkEnd w:id="363"/>
    <w:bookmarkStart w:name="z382" w:id="364"/>
    <w:p>
      <w:pPr>
        <w:spacing w:after="0"/>
        <w:ind w:left="0"/>
        <w:jc w:val="both"/>
      </w:pPr>
      <w:r>
        <w:rPr>
          <w:rFonts w:ascii="Times New Roman"/>
          <w:b w:val="false"/>
          <w:i w:val="false"/>
          <w:color w:val="000000"/>
          <w:sz w:val="28"/>
        </w:rPr>
        <w:t>
      Полное раскрытие бюджетных рисков должно основываться на оценке долговых рисков с применением макрофискального стресс-тестирования, дальнейшим использованием этих результатов для оценки устойчивости государственных финансов в отношении экстремальных макроэкономических шоков.</w:t>
      </w:r>
    </w:p>
    <w:bookmarkEnd w:id="364"/>
    <w:bookmarkStart w:name="z383" w:id="365"/>
    <w:p>
      <w:pPr>
        <w:spacing w:after="0"/>
        <w:ind w:left="0"/>
        <w:jc w:val="both"/>
      </w:pPr>
      <w:r>
        <w:rPr>
          <w:rFonts w:ascii="Times New Roman"/>
          <w:b w:val="false"/>
          <w:i w:val="false"/>
          <w:color w:val="000000"/>
          <w:sz w:val="28"/>
        </w:rPr>
        <w:t>
      В 2020 году Президент страны в своем Послании народу Казахстана отметил необходимость разработки свода ключевых бюджетных коэффициентов для обеспечения элементов бережливой и ответственной бюджетной политики.</w:t>
      </w:r>
    </w:p>
    <w:bookmarkEnd w:id="365"/>
    <w:bookmarkStart w:name="z384" w:id="366"/>
    <w:p>
      <w:pPr>
        <w:spacing w:after="0"/>
        <w:ind w:left="0"/>
        <w:jc w:val="both"/>
      </w:pPr>
      <w:r>
        <w:rPr>
          <w:rFonts w:ascii="Times New Roman"/>
          <w:b w:val="false"/>
          <w:i w:val="false"/>
          <w:color w:val="000000"/>
          <w:sz w:val="28"/>
        </w:rPr>
        <w:t>
      В действующей системе концепций НФРК и бюджетной политики, а также в ПСЭР содержится набор бюджетных коэффициентов в отношении формирования налогово-бюджетной политики и проекта республиканского бюджета, планирования заимствований государственного сектора.</w:t>
      </w:r>
    </w:p>
    <w:bookmarkEnd w:id="366"/>
    <w:bookmarkStart w:name="z385" w:id="367"/>
    <w:p>
      <w:pPr>
        <w:spacing w:after="0"/>
        <w:ind w:left="0"/>
        <w:jc w:val="both"/>
      </w:pPr>
      <w:r>
        <w:rPr>
          <w:rFonts w:ascii="Times New Roman"/>
          <w:b w:val="false"/>
          <w:i w:val="false"/>
          <w:color w:val="000000"/>
          <w:sz w:val="28"/>
        </w:rPr>
        <w:t>
      Договором о Евразийской экономической комиссии от 29 мая 2014 года установлены бюджетные и долговые показатели и их количественные значения, в пределах которых государства-члены ЕАЭС должны формировать экономическую политику.</w:t>
      </w:r>
    </w:p>
    <w:bookmarkEnd w:id="367"/>
    <w:bookmarkStart w:name="z386" w:id="368"/>
    <w:p>
      <w:pPr>
        <w:spacing w:after="0"/>
        <w:ind w:left="0"/>
        <w:jc w:val="both"/>
      </w:pPr>
      <w:r>
        <w:rPr>
          <w:rFonts w:ascii="Times New Roman"/>
          <w:b w:val="false"/>
          <w:i w:val="false"/>
          <w:color w:val="000000"/>
          <w:sz w:val="28"/>
        </w:rPr>
        <w:t>
      В то же время при проведении комплексного анализа и оценки эффективности и устойчивости бюджетной политики показателей, отраженных в данных документах, недостаточно, чтобы сформировать целостное представление о фискальной ситуации в стране и возможных рисках бюджетной политики.</w:t>
      </w:r>
    </w:p>
    <w:bookmarkEnd w:id="368"/>
    <w:bookmarkStart w:name="z387" w:id="369"/>
    <w:p>
      <w:pPr>
        <w:spacing w:after="0"/>
        <w:ind w:left="0"/>
        <w:jc w:val="both"/>
      </w:pPr>
      <w:r>
        <w:rPr>
          <w:rFonts w:ascii="Times New Roman"/>
          <w:b w:val="false"/>
          <w:i w:val="false"/>
          <w:color w:val="000000"/>
          <w:sz w:val="28"/>
        </w:rPr>
        <w:t>
      Будет проведен анализ формирования долга. Предлагается проанализировать и оценить все прямые и косвенные государственные обязательства, включая квазигосударственные обязательства и условные обязательства, возникающие в рамках проектов ГЧП. В анализе необходимо учесть воздействие различных макроэкономических факторов на формирование внутреннего и внешнего долга страны.</w:t>
      </w:r>
    </w:p>
    <w:bookmarkEnd w:id="369"/>
    <w:bookmarkStart w:name="z388" w:id="370"/>
    <w:p>
      <w:pPr>
        <w:spacing w:after="0"/>
        <w:ind w:left="0"/>
        <w:jc w:val="both"/>
      </w:pPr>
      <w:r>
        <w:rPr>
          <w:rFonts w:ascii="Times New Roman"/>
          <w:b w:val="false"/>
          <w:i w:val="false"/>
          <w:color w:val="000000"/>
          <w:sz w:val="28"/>
        </w:rPr>
        <w:t>
      Прозрачность будет улучшена путем раскрытия государственных гарантий и условных обязательств в годовой финансовой отчетности.</w:t>
      </w:r>
    </w:p>
    <w:bookmarkEnd w:id="370"/>
    <w:bookmarkStart w:name="z389" w:id="371"/>
    <w:p>
      <w:pPr>
        <w:spacing w:after="0"/>
        <w:ind w:left="0"/>
        <w:jc w:val="both"/>
      </w:pPr>
      <w:r>
        <w:rPr>
          <w:rFonts w:ascii="Times New Roman"/>
          <w:b w:val="false"/>
          <w:i w:val="false"/>
          <w:color w:val="000000"/>
          <w:sz w:val="28"/>
        </w:rPr>
        <w:t>
      В целях повышения ликвидности рынка государственных ценных бумаг Министерства финансов (далее - ГЦБ) и построения безрисковой кривой доходности уполномоченным органом по исполнению бюджета ведется совместная последовательная работа с Национальным Банком Республики Казахстан (далее - НБ).</w:t>
      </w:r>
    </w:p>
    <w:bookmarkEnd w:id="371"/>
    <w:bookmarkStart w:name="z390" w:id="372"/>
    <w:p>
      <w:pPr>
        <w:spacing w:after="0"/>
        <w:ind w:left="0"/>
        <w:jc w:val="both"/>
      </w:pPr>
      <w:r>
        <w:rPr>
          <w:rFonts w:ascii="Times New Roman"/>
          <w:b w:val="false"/>
          <w:i w:val="false"/>
          <w:color w:val="000000"/>
          <w:sz w:val="28"/>
        </w:rPr>
        <w:t>
      Одним из основополагающих факторов развития и роста внутреннего фондового рынка является увеличение базы инвесторов с привлечением иностранных инвесторов на локальный рынок, что позволит приумножить ликвидность национального фондового рынка и снизить стоимость заимствования.</w:t>
      </w:r>
    </w:p>
    <w:bookmarkEnd w:id="372"/>
    <w:bookmarkStart w:name="z391" w:id="373"/>
    <w:p>
      <w:pPr>
        <w:spacing w:after="0"/>
        <w:ind w:left="0"/>
        <w:jc w:val="both"/>
      </w:pPr>
      <w:r>
        <w:rPr>
          <w:rFonts w:ascii="Times New Roman"/>
          <w:b w:val="false"/>
          <w:i w:val="false"/>
          <w:color w:val="000000"/>
          <w:sz w:val="28"/>
        </w:rPr>
        <w:t>
      Это требует комплекса мер, в частности, проведения мероприятий по включению ГЦБ в международные индексы развивающихся стран, а также внедрения международной клиринговой системы с обеспечением доступа иностранных инвесторов к внутреннему рынку ценных бумаг и увеличения спроса на ГЦБ.</w:t>
      </w:r>
    </w:p>
    <w:bookmarkEnd w:id="373"/>
    <w:bookmarkStart w:name="z392" w:id="374"/>
    <w:p>
      <w:pPr>
        <w:spacing w:after="0"/>
        <w:ind w:left="0"/>
        <w:jc w:val="both"/>
      </w:pPr>
      <w:r>
        <w:rPr>
          <w:rFonts w:ascii="Times New Roman"/>
          <w:b w:val="false"/>
          <w:i w:val="false"/>
          <w:color w:val="000000"/>
          <w:sz w:val="28"/>
        </w:rPr>
        <w:t>
      Повышение ликвидности и привлекательности выпускаемых ГЦБ окажет положительное влияние на формирование рыночной стоимости заимствования для государства на внутреннем рынке.</w:t>
      </w:r>
    </w:p>
    <w:bookmarkEnd w:id="374"/>
    <w:bookmarkStart w:name="z393" w:id="375"/>
    <w:p>
      <w:pPr>
        <w:spacing w:after="0"/>
        <w:ind w:left="0"/>
        <w:jc w:val="both"/>
      </w:pPr>
      <w:r>
        <w:rPr>
          <w:rFonts w:ascii="Times New Roman"/>
          <w:b w:val="false"/>
          <w:i w:val="false"/>
          <w:color w:val="000000"/>
          <w:sz w:val="28"/>
        </w:rPr>
        <w:t>
      Задача по повышению эффективности бюджетного планирования требует совершенствования используемых при планировании бюджета методов и инструментов.</w:t>
      </w:r>
    </w:p>
    <w:bookmarkEnd w:id="375"/>
    <w:bookmarkStart w:name="z394" w:id="376"/>
    <w:p>
      <w:pPr>
        <w:spacing w:after="0"/>
        <w:ind w:left="0"/>
        <w:jc w:val="both"/>
      </w:pPr>
      <w:r>
        <w:rPr>
          <w:rFonts w:ascii="Times New Roman"/>
          <w:b w:val="false"/>
          <w:i w:val="false"/>
          <w:color w:val="000000"/>
          <w:sz w:val="28"/>
        </w:rPr>
        <w:t>
      В этой связи планируется проработка подходов по внедрению элементов блочного механизма планирования бюджета, позволяющего государственным органам самостоятельно планировать свой бюджет в пределах стабильных среднесрочных лимитов.</w:t>
      </w:r>
    </w:p>
    <w:bookmarkEnd w:id="376"/>
    <w:bookmarkStart w:name="z395" w:id="377"/>
    <w:p>
      <w:pPr>
        <w:spacing w:after="0"/>
        <w:ind w:left="0"/>
        <w:jc w:val="both"/>
      </w:pPr>
      <w:r>
        <w:rPr>
          <w:rFonts w:ascii="Times New Roman"/>
          <w:b w:val="false"/>
          <w:i w:val="false"/>
          <w:color w:val="000000"/>
          <w:sz w:val="28"/>
        </w:rPr>
        <w:t>
      Будут приняты меры по повышению гибкости реализации бюджетных программ, в том числе путем их дальнейшего укрупнения вокруг стратегических целей.</w:t>
      </w:r>
    </w:p>
    <w:bookmarkEnd w:id="377"/>
    <w:bookmarkStart w:name="z396" w:id="378"/>
    <w:p>
      <w:pPr>
        <w:spacing w:after="0"/>
        <w:ind w:left="0"/>
        <w:jc w:val="both"/>
      </w:pPr>
      <w:r>
        <w:rPr>
          <w:rFonts w:ascii="Times New Roman"/>
          <w:b w:val="false"/>
          <w:i w:val="false"/>
          <w:color w:val="000000"/>
          <w:sz w:val="28"/>
        </w:rPr>
        <w:t>
      Будет постепенно осуществлен отход от практики освоения выделенных бюджетных средств, что позволит избежать в конце года поспешных и не всегда эффективных расходов, обеспечит более экономичное и эффективное использование бюджетных ресурсов и позволит управлять общей, а не годовой стоимостью проекта.</w:t>
      </w:r>
    </w:p>
    <w:bookmarkEnd w:id="378"/>
    <w:bookmarkStart w:name="z397" w:id="379"/>
    <w:p>
      <w:pPr>
        <w:spacing w:after="0"/>
        <w:ind w:left="0"/>
        <w:jc w:val="both"/>
      </w:pPr>
      <w:r>
        <w:rPr>
          <w:rFonts w:ascii="Times New Roman"/>
          <w:b w:val="false"/>
          <w:i w:val="false"/>
          <w:color w:val="000000"/>
          <w:sz w:val="28"/>
        </w:rPr>
        <w:t>
      В сфере государственных расходов есть большие возможности для повышения эффективности, но консолидация бюджета, основанная исключительно на сокращении общих государственных расходов, нецелесообразна.</w:t>
      </w:r>
    </w:p>
    <w:bookmarkEnd w:id="379"/>
    <w:bookmarkStart w:name="z398" w:id="380"/>
    <w:p>
      <w:pPr>
        <w:spacing w:after="0"/>
        <w:ind w:left="0"/>
        <w:jc w:val="both"/>
      </w:pPr>
      <w:r>
        <w:rPr>
          <w:rFonts w:ascii="Times New Roman"/>
          <w:b w:val="false"/>
          <w:i w:val="false"/>
          <w:color w:val="000000"/>
          <w:sz w:val="28"/>
        </w:rPr>
        <w:t>
      Необходимость сокращения ненефтяного дефицита означает, что прежде чем проводить какие-либо существенные увеличения в расходах, следует осуществить такие корректировки государственных расходов и доходов, при которых неэффективно используемые средства были бы направлены на более продуктивные меры, поддерживающие государственные цели, в том числе цели по повышению производительности и стимулированию ориентированного на рынок экономического роста, особенно в ненефтяных торгуемых секторах, созданию более качественных рабочих мест в более продуктивной экономике.</w:t>
      </w:r>
    </w:p>
    <w:bookmarkEnd w:id="380"/>
    <w:bookmarkStart w:name="z399" w:id="381"/>
    <w:p>
      <w:pPr>
        <w:spacing w:after="0"/>
        <w:ind w:left="0"/>
        <w:jc w:val="both"/>
      </w:pPr>
      <w:r>
        <w:rPr>
          <w:rFonts w:ascii="Times New Roman"/>
          <w:b w:val="false"/>
          <w:i w:val="false"/>
          <w:color w:val="000000"/>
          <w:sz w:val="28"/>
        </w:rPr>
        <w:t>
      В этих целях будут введены обзоры расходов, что позволит перераспределить ресурсы в соответствии с новыми приоритетами расходов.</w:t>
      </w:r>
    </w:p>
    <w:bookmarkEnd w:id="381"/>
    <w:bookmarkStart w:name="z400" w:id="382"/>
    <w:p>
      <w:pPr>
        <w:spacing w:after="0"/>
        <w:ind w:left="0"/>
        <w:jc w:val="both"/>
      </w:pPr>
      <w:r>
        <w:rPr>
          <w:rFonts w:ascii="Times New Roman"/>
          <w:b w:val="false"/>
          <w:i w:val="false"/>
          <w:color w:val="000000"/>
          <w:sz w:val="28"/>
        </w:rPr>
        <w:t>
      Данные мероприятия призваны укрепить устойчивость государственных финансов к шокам и повысить эффективность контрциклических мер.</w:t>
      </w:r>
    </w:p>
    <w:bookmarkEnd w:id="382"/>
    <w:bookmarkStart w:name="z401" w:id="383"/>
    <w:p>
      <w:pPr>
        <w:spacing w:after="0"/>
        <w:ind w:left="0"/>
        <w:jc w:val="left"/>
      </w:pPr>
      <w:r>
        <w:rPr>
          <w:rFonts w:ascii="Times New Roman"/>
          <w:b/>
          <w:i w:val="false"/>
          <w:color w:val="000000"/>
        </w:rPr>
        <w:t xml:space="preserve"> Раздел 5. Основные принципы и подходы к формированию политики управления государственными финансами</w:t>
      </w:r>
    </w:p>
    <w:bookmarkEnd w:id="383"/>
    <w:p>
      <w:pPr>
        <w:spacing w:after="0"/>
        <w:ind w:left="0"/>
        <w:jc w:val="both"/>
      </w:pPr>
      <w:r>
        <w:rPr>
          <w:rFonts w:ascii="Times New Roman"/>
          <w:b w:val="false"/>
          <w:i w:val="false"/>
          <w:color w:val="ff0000"/>
          <w:sz w:val="28"/>
        </w:rPr>
        <w:t xml:space="preserve">
      Сноска. Раздел 5 с изменениями, внесенными Указом Президента РК от 29.06.2023 </w:t>
      </w:r>
      <w:r>
        <w:rPr>
          <w:rFonts w:ascii="Times New Roman"/>
          <w:b w:val="false"/>
          <w:i w:val="false"/>
          <w:color w:val="ff0000"/>
          <w:sz w:val="28"/>
        </w:rPr>
        <w:t>№ 273</w:t>
      </w:r>
      <w:r>
        <w:rPr>
          <w:rFonts w:ascii="Times New Roman"/>
          <w:b w:val="false"/>
          <w:i w:val="false"/>
          <w:color w:val="ff0000"/>
          <w:sz w:val="28"/>
        </w:rPr>
        <w:t>.</w:t>
      </w:r>
    </w:p>
    <w:bookmarkStart w:name="z402" w:id="384"/>
    <w:p>
      <w:pPr>
        <w:spacing w:after="0"/>
        <w:ind w:left="0"/>
        <w:jc w:val="left"/>
      </w:pPr>
      <w:r>
        <w:rPr>
          <w:rFonts w:ascii="Times New Roman"/>
          <w:b/>
          <w:i w:val="false"/>
          <w:color w:val="000000"/>
        </w:rPr>
        <w:t xml:space="preserve"> 5.1. Основные принципы политики управления государственными финансами</w:t>
      </w:r>
    </w:p>
    <w:bookmarkEnd w:id="384"/>
    <w:bookmarkStart w:name="z403" w:id="385"/>
    <w:p>
      <w:pPr>
        <w:spacing w:after="0"/>
        <w:ind w:left="0"/>
        <w:jc w:val="both"/>
      </w:pPr>
      <w:r>
        <w:rPr>
          <w:rFonts w:ascii="Times New Roman"/>
          <w:b w:val="false"/>
          <w:i w:val="false"/>
          <w:color w:val="000000"/>
          <w:sz w:val="28"/>
        </w:rPr>
        <w:t>
      В целях эффективного решения поставленных задач основными принципами должны стать:</w:t>
      </w:r>
    </w:p>
    <w:bookmarkEnd w:id="385"/>
    <w:bookmarkStart w:name="z404" w:id="386"/>
    <w:p>
      <w:pPr>
        <w:spacing w:after="0"/>
        <w:ind w:left="0"/>
        <w:jc w:val="both"/>
      </w:pPr>
      <w:r>
        <w:rPr>
          <w:rFonts w:ascii="Times New Roman"/>
          <w:b w:val="false"/>
          <w:i w:val="false"/>
          <w:color w:val="000000"/>
          <w:sz w:val="28"/>
        </w:rPr>
        <w:t>
      принцип единства - применение единой законодательной и нормативной правовой базы, единых принципов организации и функционирования денежно- кредитной, бюджетной и налоговой систем в Республике Казахстан;</w:t>
      </w:r>
    </w:p>
    <w:bookmarkEnd w:id="386"/>
    <w:bookmarkStart w:name="z405" w:id="387"/>
    <w:p>
      <w:pPr>
        <w:spacing w:after="0"/>
        <w:ind w:left="0"/>
        <w:jc w:val="both"/>
      </w:pPr>
      <w:r>
        <w:rPr>
          <w:rFonts w:ascii="Times New Roman"/>
          <w:b w:val="false"/>
          <w:i w:val="false"/>
          <w:color w:val="000000"/>
          <w:sz w:val="28"/>
        </w:rPr>
        <w:t>
      принцип долгосрочной устойчивости - формирование системы бюджетных правил и реализация политики управления государственными финансами с соблюдением установленных бюджетных правил;</w:t>
      </w:r>
    </w:p>
    <w:bookmarkEnd w:id="387"/>
    <w:bookmarkStart w:name="z406" w:id="388"/>
    <w:p>
      <w:pPr>
        <w:spacing w:after="0"/>
        <w:ind w:left="0"/>
        <w:jc w:val="both"/>
      </w:pPr>
      <w:r>
        <w:rPr>
          <w:rFonts w:ascii="Times New Roman"/>
          <w:b w:val="false"/>
          <w:i w:val="false"/>
          <w:color w:val="000000"/>
          <w:sz w:val="28"/>
        </w:rPr>
        <w:t>
      принцип сбалансированности - соответствие принимаемых обязательств к ресурсам;</w:t>
      </w:r>
    </w:p>
    <w:bookmarkEnd w:id="388"/>
    <w:bookmarkStart w:name="z407" w:id="389"/>
    <w:p>
      <w:pPr>
        <w:spacing w:after="0"/>
        <w:ind w:left="0"/>
        <w:jc w:val="both"/>
      </w:pPr>
      <w:r>
        <w:rPr>
          <w:rFonts w:ascii="Times New Roman"/>
          <w:b w:val="false"/>
          <w:i w:val="false"/>
          <w:color w:val="000000"/>
          <w:sz w:val="28"/>
        </w:rPr>
        <w:t>
      принцип транспарентности - опубликование нормативных правовых актов в области государственных финансов, утвержденных бюджетов, планов развития и отчетов об их исполнении, за исключением сведений, составляющих государственную или иную охраняемую законом тайну, а также обязательная открытость для общества и средств массовой информации;</w:t>
      </w:r>
    </w:p>
    <w:bookmarkEnd w:id="389"/>
    <w:bookmarkStart w:name="z408" w:id="390"/>
    <w:p>
      <w:pPr>
        <w:spacing w:after="0"/>
        <w:ind w:left="0"/>
        <w:jc w:val="both"/>
      </w:pPr>
      <w:r>
        <w:rPr>
          <w:rFonts w:ascii="Times New Roman"/>
          <w:b w:val="false"/>
          <w:i w:val="false"/>
          <w:color w:val="000000"/>
          <w:sz w:val="28"/>
        </w:rPr>
        <w:t>
      принцип полноты - полнота учета в отчетности всех поступлений и расходов, предусмотренных законодательством Республики Казахстан;</w:t>
      </w:r>
    </w:p>
    <w:bookmarkEnd w:id="390"/>
    <w:bookmarkStart w:name="z409" w:id="391"/>
    <w:p>
      <w:pPr>
        <w:spacing w:after="0"/>
        <w:ind w:left="0"/>
        <w:jc w:val="both"/>
      </w:pPr>
      <w:r>
        <w:rPr>
          <w:rFonts w:ascii="Times New Roman"/>
          <w:b w:val="false"/>
          <w:i w:val="false"/>
          <w:color w:val="000000"/>
          <w:sz w:val="28"/>
        </w:rPr>
        <w:t>
      принцип эффективности - соотношение государственных расходов и ресурсов к максимально наилучшим результатам экономического и социального роста, достигнутым с соблюдением принципов управления государственными финансами;</w:t>
      </w:r>
    </w:p>
    <w:bookmarkEnd w:id="391"/>
    <w:bookmarkStart w:name="z410" w:id="392"/>
    <w:p>
      <w:pPr>
        <w:spacing w:after="0"/>
        <w:ind w:left="0"/>
        <w:jc w:val="both"/>
      </w:pPr>
      <w:r>
        <w:rPr>
          <w:rFonts w:ascii="Times New Roman"/>
          <w:b w:val="false"/>
          <w:i w:val="false"/>
          <w:color w:val="000000"/>
          <w:sz w:val="28"/>
        </w:rPr>
        <w:t>
      принцип бережливости и ответственности - эффективное и соответствующее установленным правилам и ограничениям формирование бюджетной потребности.</w:t>
      </w:r>
    </w:p>
    <w:bookmarkEnd w:id="392"/>
    <w:bookmarkStart w:name="z411" w:id="393"/>
    <w:p>
      <w:pPr>
        <w:spacing w:after="0"/>
        <w:ind w:left="0"/>
        <w:jc w:val="left"/>
      </w:pPr>
      <w:r>
        <w:rPr>
          <w:rFonts w:ascii="Times New Roman"/>
          <w:b/>
          <w:i w:val="false"/>
          <w:color w:val="000000"/>
        </w:rPr>
        <w:t xml:space="preserve"> 5.2. Основные подходы к политике управления государственными финансами</w:t>
      </w:r>
    </w:p>
    <w:bookmarkEnd w:id="393"/>
    <w:bookmarkStart w:name="z412" w:id="394"/>
    <w:p>
      <w:pPr>
        <w:spacing w:after="0"/>
        <w:ind w:left="0"/>
        <w:jc w:val="both"/>
      </w:pPr>
      <w:r>
        <w:rPr>
          <w:rFonts w:ascii="Times New Roman"/>
          <w:b w:val="false"/>
          <w:i w:val="false"/>
          <w:color w:val="000000"/>
          <w:sz w:val="28"/>
        </w:rPr>
        <w:t>
      Учитывая стоящие задачи по обеспечению сбалансированности бюджета, дальнейшего роста реального ВВП и укрепления социальной защиты, политика управления государственными финансами будет формироваться на основе следующих подходов:</w:t>
      </w:r>
    </w:p>
    <w:bookmarkEnd w:id="394"/>
    <w:bookmarkStart w:name="z413" w:id="395"/>
    <w:p>
      <w:pPr>
        <w:spacing w:after="0"/>
        <w:ind w:left="0"/>
        <w:jc w:val="both"/>
      </w:pPr>
      <w:r>
        <w:rPr>
          <w:rFonts w:ascii="Times New Roman"/>
          <w:b w:val="false"/>
          <w:i w:val="false"/>
          <w:color w:val="000000"/>
          <w:sz w:val="28"/>
        </w:rPr>
        <w:t>
      установление обоснованных и гибких фискальных правил, не зависящих от колебаний цен на нефть, с проведением независимой оценки их соблюдения;</w:t>
      </w:r>
    </w:p>
    <w:bookmarkEnd w:id="395"/>
    <w:bookmarkStart w:name="z414" w:id="396"/>
    <w:p>
      <w:pPr>
        <w:spacing w:after="0"/>
        <w:ind w:left="0"/>
        <w:jc w:val="both"/>
      </w:pPr>
      <w:r>
        <w:rPr>
          <w:rFonts w:ascii="Times New Roman"/>
          <w:b w:val="false"/>
          <w:i w:val="false"/>
          <w:color w:val="000000"/>
          <w:sz w:val="28"/>
        </w:rPr>
        <w:t>
      строгое соблюдение количественных ограничений на бюджетные параметры и определение объема расходов бюджета в пределах фискальных ограничений;</w:t>
      </w:r>
    </w:p>
    <w:bookmarkEnd w:id="396"/>
    <w:bookmarkStart w:name="z415" w:id="397"/>
    <w:p>
      <w:pPr>
        <w:spacing w:after="0"/>
        <w:ind w:left="0"/>
        <w:jc w:val="both"/>
      </w:pPr>
      <w:r>
        <w:rPr>
          <w:rFonts w:ascii="Times New Roman"/>
          <w:b w:val="false"/>
          <w:i w:val="false"/>
          <w:color w:val="000000"/>
          <w:sz w:val="28"/>
        </w:rPr>
        <w:t>
      профилактика бюджетных рисков и принятие мер по минимизации их негативных последствий;</w:t>
      </w:r>
    </w:p>
    <w:bookmarkEnd w:id="397"/>
    <w:bookmarkStart w:name="z416" w:id="398"/>
    <w:p>
      <w:pPr>
        <w:spacing w:after="0"/>
        <w:ind w:left="0"/>
        <w:jc w:val="both"/>
      </w:pPr>
      <w:r>
        <w:rPr>
          <w:rFonts w:ascii="Times New Roman"/>
          <w:b w:val="false"/>
          <w:i w:val="false"/>
          <w:color w:val="000000"/>
          <w:sz w:val="28"/>
        </w:rPr>
        <w:t>
      приоритизация расходов бюджета в соответствии с целями социально- экономической политики;</w:t>
      </w:r>
    </w:p>
    <w:bookmarkEnd w:id="398"/>
    <w:bookmarkStart w:name="z417" w:id="399"/>
    <w:p>
      <w:pPr>
        <w:spacing w:after="0"/>
        <w:ind w:left="0"/>
        <w:jc w:val="both"/>
      </w:pPr>
      <w:r>
        <w:rPr>
          <w:rFonts w:ascii="Times New Roman"/>
          <w:b w:val="false"/>
          <w:i w:val="false"/>
          <w:color w:val="000000"/>
          <w:sz w:val="28"/>
        </w:rPr>
        <w:t>
      эффективное распределение бюджетных средств, обеспечивающее наибольший социально-экономический эффект;</w:t>
      </w:r>
    </w:p>
    <w:bookmarkEnd w:id="399"/>
    <w:bookmarkStart w:name="z418" w:id="400"/>
    <w:p>
      <w:pPr>
        <w:spacing w:after="0"/>
        <w:ind w:left="0"/>
        <w:jc w:val="both"/>
      </w:pPr>
      <w:r>
        <w:rPr>
          <w:rFonts w:ascii="Times New Roman"/>
          <w:b w:val="false"/>
          <w:i w:val="false"/>
          <w:color w:val="000000"/>
          <w:sz w:val="28"/>
        </w:rPr>
        <w:t>
      продолжение накопления финансовых ресурсов в НФРК;</w:t>
      </w:r>
    </w:p>
    <w:bookmarkEnd w:id="400"/>
    <w:bookmarkStart w:name="z419" w:id="401"/>
    <w:p>
      <w:pPr>
        <w:spacing w:after="0"/>
        <w:ind w:left="0"/>
        <w:jc w:val="both"/>
      </w:pPr>
      <w:r>
        <w:rPr>
          <w:rFonts w:ascii="Times New Roman"/>
          <w:b w:val="false"/>
          <w:i w:val="false"/>
          <w:color w:val="000000"/>
          <w:sz w:val="28"/>
        </w:rPr>
        <w:t>
      адекватность налоговой политики возрастающим обязательствам;</w:t>
      </w:r>
    </w:p>
    <w:bookmarkEnd w:id="401"/>
    <w:bookmarkStart w:name="z420" w:id="402"/>
    <w:p>
      <w:pPr>
        <w:spacing w:after="0"/>
        <w:ind w:left="0"/>
        <w:jc w:val="both"/>
      </w:pPr>
      <w:r>
        <w:rPr>
          <w:rFonts w:ascii="Times New Roman"/>
          <w:b w:val="false"/>
          <w:i w:val="false"/>
          <w:color w:val="000000"/>
          <w:sz w:val="28"/>
        </w:rPr>
        <w:t>
      стимулирование инвестиций частного сектора, а не их замещение;</w:t>
      </w:r>
    </w:p>
    <w:bookmarkEnd w:id="402"/>
    <w:bookmarkStart w:name="z421" w:id="403"/>
    <w:p>
      <w:pPr>
        <w:spacing w:after="0"/>
        <w:ind w:left="0"/>
        <w:jc w:val="both"/>
      </w:pPr>
      <w:r>
        <w:rPr>
          <w:rFonts w:ascii="Times New Roman"/>
          <w:b w:val="false"/>
          <w:i w:val="false"/>
          <w:color w:val="000000"/>
          <w:sz w:val="28"/>
        </w:rPr>
        <w:t>
      расширение финансовой самостоятельности и повышение ответственности местных органов в решении вопросов регионального развития;</w:t>
      </w:r>
    </w:p>
    <w:bookmarkEnd w:id="403"/>
    <w:bookmarkStart w:name="z422" w:id="404"/>
    <w:p>
      <w:pPr>
        <w:spacing w:after="0"/>
        <w:ind w:left="0"/>
        <w:jc w:val="both"/>
      </w:pPr>
      <w:r>
        <w:rPr>
          <w:rFonts w:ascii="Times New Roman"/>
          <w:b w:val="false"/>
          <w:i w:val="false"/>
          <w:color w:val="000000"/>
          <w:sz w:val="28"/>
        </w:rPr>
        <w:t>
      открытость и прозрачность на всех этапах планирования и исполнения бюджета с вовлечением населения в бюджетное управление;</w:t>
      </w:r>
    </w:p>
    <w:bookmarkEnd w:id="404"/>
    <w:bookmarkStart w:name="z423" w:id="405"/>
    <w:p>
      <w:pPr>
        <w:spacing w:after="0"/>
        <w:ind w:left="0"/>
        <w:jc w:val="both"/>
      </w:pPr>
      <w:r>
        <w:rPr>
          <w:rFonts w:ascii="Times New Roman"/>
          <w:b w:val="false"/>
          <w:i w:val="false"/>
          <w:color w:val="000000"/>
          <w:sz w:val="28"/>
        </w:rPr>
        <w:t>
      обеспечение мониторинга и администрирования за счет цифровизации и автоматизации.</w:t>
      </w:r>
    </w:p>
    <w:bookmarkEnd w:id="405"/>
    <w:bookmarkStart w:name="z424" w:id="406"/>
    <w:p>
      <w:pPr>
        <w:spacing w:after="0"/>
        <w:ind w:left="0"/>
        <w:jc w:val="left"/>
      </w:pPr>
      <w:r>
        <w:rPr>
          <w:rFonts w:ascii="Times New Roman"/>
          <w:b/>
          <w:i w:val="false"/>
          <w:color w:val="000000"/>
        </w:rPr>
        <w:t xml:space="preserve"> 5.3. Политика формирования и использования средств НФРК</w:t>
      </w:r>
    </w:p>
    <w:bookmarkEnd w:id="406"/>
    <w:bookmarkStart w:name="z425" w:id="407"/>
    <w:p>
      <w:pPr>
        <w:spacing w:after="0"/>
        <w:ind w:left="0"/>
        <w:jc w:val="both"/>
      </w:pPr>
      <w:r>
        <w:rPr>
          <w:rFonts w:ascii="Times New Roman"/>
          <w:b w:val="false"/>
          <w:i w:val="false"/>
          <w:color w:val="000000"/>
          <w:sz w:val="28"/>
        </w:rPr>
        <w:t>
      Основной целью НФРК является сбережение финансовых ресурсов посредством формирования накоплений для будущих поколений и снижения зависимости республиканского бюджета от ситуации на мировых сырьевых рынках.</w:t>
      </w:r>
    </w:p>
    <w:bookmarkEnd w:id="407"/>
    <w:bookmarkStart w:name="z426" w:id="408"/>
    <w:p>
      <w:pPr>
        <w:spacing w:after="0"/>
        <w:ind w:left="0"/>
        <w:jc w:val="both"/>
      </w:pPr>
      <w:r>
        <w:rPr>
          <w:rFonts w:ascii="Times New Roman"/>
          <w:b w:val="false"/>
          <w:i w:val="false"/>
          <w:color w:val="000000"/>
          <w:sz w:val="28"/>
        </w:rPr>
        <w:t>
      Функциями НФРК являются сберегательная и стабилизационная.</w:t>
      </w:r>
    </w:p>
    <w:bookmarkEnd w:id="408"/>
    <w:bookmarkStart w:name="z427" w:id="409"/>
    <w:p>
      <w:pPr>
        <w:spacing w:after="0"/>
        <w:ind w:left="0"/>
        <w:jc w:val="both"/>
      </w:pPr>
      <w:r>
        <w:rPr>
          <w:rFonts w:ascii="Times New Roman"/>
          <w:b w:val="false"/>
          <w:i w:val="false"/>
          <w:color w:val="000000"/>
          <w:sz w:val="28"/>
        </w:rPr>
        <w:t>
      Формирование и использование средств НФРК будут основаны на следующих принципах:</w:t>
      </w:r>
    </w:p>
    <w:bookmarkEnd w:id="409"/>
    <w:bookmarkStart w:name="z428" w:id="410"/>
    <w:p>
      <w:pPr>
        <w:spacing w:after="0"/>
        <w:ind w:left="0"/>
        <w:jc w:val="both"/>
      </w:pPr>
      <w:r>
        <w:rPr>
          <w:rFonts w:ascii="Times New Roman"/>
          <w:b w:val="false"/>
          <w:i w:val="false"/>
          <w:color w:val="000000"/>
          <w:sz w:val="28"/>
        </w:rPr>
        <w:t>
      транспарентность - направление средств НФРК в экономику страны только через республиканский бюджет, а также выделение средств из НФРК на цели, предусмотренные настоящей Концепцией, с информированием Парламента в составе отчета Правительства об исполнении республиканского бюджета;</w:t>
      </w:r>
    </w:p>
    <w:bookmarkEnd w:id="410"/>
    <w:bookmarkStart w:name="z429" w:id="411"/>
    <w:p>
      <w:pPr>
        <w:spacing w:after="0"/>
        <w:ind w:left="0"/>
        <w:jc w:val="both"/>
      </w:pPr>
      <w:r>
        <w:rPr>
          <w:rFonts w:ascii="Times New Roman"/>
          <w:b w:val="false"/>
          <w:i w:val="false"/>
          <w:color w:val="000000"/>
          <w:sz w:val="28"/>
        </w:rPr>
        <w:t xml:space="preserve">
      подотчетность - обязательная публикация утвержденных (уточненных, скорректированных) показателей НФРК, отчетов о формировании и использовании средств НФРК, отчетов об инвестиционном управлении средствами НФРК, в которых результаты по доходности указываются за последние 5 и 10 лет с начала управления, и годовой аудированной финансовой отчетности НФРК (с момента создания) на веб-сайте уполномоченного органа по исполнению бюджета и в информационно-правовой системе нормативных правовых актов Республики Казахстан "Әділет"; </w:t>
      </w:r>
    </w:p>
    <w:bookmarkEnd w:id="411"/>
    <w:bookmarkStart w:name="z430" w:id="412"/>
    <w:p>
      <w:pPr>
        <w:spacing w:after="0"/>
        <w:ind w:left="0"/>
        <w:jc w:val="both"/>
      </w:pPr>
      <w:r>
        <w:rPr>
          <w:rFonts w:ascii="Times New Roman"/>
          <w:b w:val="false"/>
          <w:i w:val="false"/>
          <w:color w:val="000000"/>
          <w:sz w:val="28"/>
        </w:rPr>
        <w:t>
      полнота - отражение в отчетности о НФРК всех поступлений и расходов, предусмотренных законодательством Республики Казахстан;</w:t>
      </w:r>
    </w:p>
    <w:bookmarkEnd w:id="412"/>
    <w:bookmarkStart w:name="z431" w:id="413"/>
    <w:p>
      <w:pPr>
        <w:spacing w:after="0"/>
        <w:ind w:left="0"/>
        <w:jc w:val="both"/>
      </w:pPr>
      <w:r>
        <w:rPr>
          <w:rFonts w:ascii="Times New Roman"/>
          <w:b w:val="false"/>
          <w:i w:val="false"/>
          <w:color w:val="000000"/>
          <w:sz w:val="28"/>
        </w:rPr>
        <w:t>
      своевременность - зачисление на контрольный счет наличности (далее - КСН) Национального фонда и ее перевод на счета Правительства в НБ в сроки, установленные соответствующими нормативными правовыми актами, и с соблюдением порядка;</w:t>
      </w:r>
    </w:p>
    <w:bookmarkEnd w:id="413"/>
    <w:bookmarkStart w:name="z432" w:id="414"/>
    <w:p>
      <w:pPr>
        <w:spacing w:after="0"/>
        <w:ind w:left="0"/>
        <w:jc w:val="both"/>
      </w:pPr>
      <w:r>
        <w:rPr>
          <w:rFonts w:ascii="Times New Roman"/>
          <w:b w:val="false"/>
          <w:i w:val="false"/>
          <w:color w:val="000000"/>
          <w:sz w:val="28"/>
        </w:rPr>
        <w:t>
      эффективность - управление средствами Национального фонда исходя из необходимости сохранения активов и обеспечения доходности в долгосрочной перспективе при умеренном уровне риска.</w:t>
      </w:r>
    </w:p>
    <w:bookmarkEnd w:id="414"/>
    <w:bookmarkStart w:name="z433" w:id="41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Формирование НФРК</w:t>
      </w:r>
    </w:p>
    <w:bookmarkEnd w:id="415"/>
    <w:bookmarkStart w:name="z434" w:id="416"/>
    <w:p>
      <w:pPr>
        <w:spacing w:after="0"/>
        <w:ind w:left="0"/>
        <w:jc w:val="both"/>
      </w:pPr>
      <w:r>
        <w:rPr>
          <w:rFonts w:ascii="Times New Roman"/>
          <w:b w:val="false"/>
          <w:i w:val="false"/>
          <w:color w:val="000000"/>
          <w:sz w:val="28"/>
        </w:rPr>
        <w:t>
      Накопление средств НФРК осуществляется за счет:</w:t>
      </w:r>
    </w:p>
    <w:bookmarkEnd w:id="416"/>
    <w:bookmarkStart w:name="z435" w:id="417"/>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 корпоративный подоходный налог, альтернативный налог на недропользование, налог на добычу полезных ископаемых, бонусы, рентный налог на экспорт, налог на сверхприбыль, доля по разделу продукции и дополнительный платеж недропользователей, осуществляющих деятельность по контракту о разделе продукции;</w:t>
      </w:r>
    </w:p>
    <w:bookmarkEnd w:id="417"/>
    <w:bookmarkStart w:name="z436" w:id="418"/>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418"/>
    <w:bookmarkStart w:name="z437" w:id="419"/>
    <w:p>
      <w:pPr>
        <w:spacing w:after="0"/>
        <w:ind w:left="0"/>
        <w:jc w:val="both"/>
      </w:pPr>
      <w:r>
        <w:rPr>
          <w:rFonts w:ascii="Times New Roman"/>
          <w:b w:val="false"/>
          <w:i w:val="false"/>
          <w:color w:val="000000"/>
          <w:sz w:val="28"/>
        </w:rPr>
        <w:t>
      3) поступлений от приватизации республиканской собственности;</w:t>
      </w:r>
    </w:p>
    <w:bookmarkEnd w:id="419"/>
    <w:bookmarkStart w:name="z438" w:id="420"/>
    <w:p>
      <w:pPr>
        <w:spacing w:after="0"/>
        <w:ind w:left="0"/>
        <w:jc w:val="both"/>
      </w:pPr>
      <w:r>
        <w:rPr>
          <w:rFonts w:ascii="Times New Roman"/>
          <w:b w:val="false"/>
          <w:i w:val="false"/>
          <w:color w:val="000000"/>
          <w:sz w:val="28"/>
        </w:rPr>
        <w:t>
      4) поступлений в полном объеме (за исключением средств, направляемых группой Фонда для погашения долговых обязательств или финансирования социально значимых, промышленно-инновационных проектов, способствующих устойчивому развитию экономики Республики Казахстан, но не более 50% в совокупности по группе Фонда)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и по перечню, определяемыми Правительством Республики Казахстан;</w:t>
      </w:r>
    </w:p>
    <w:bookmarkEnd w:id="420"/>
    <w:bookmarkStart w:name="z439" w:id="421"/>
    <w:p>
      <w:pPr>
        <w:spacing w:after="0"/>
        <w:ind w:left="0"/>
        <w:jc w:val="both"/>
      </w:pPr>
      <w:r>
        <w:rPr>
          <w:rFonts w:ascii="Times New Roman"/>
          <w:b w:val="false"/>
          <w:i w:val="false"/>
          <w:color w:val="000000"/>
          <w:sz w:val="28"/>
        </w:rPr>
        <w:t>
      При этом, не допускается погашение обязательств перед НФРК за счет средств, поступивших от приватизации республиканской собственности и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bookmarkEnd w:id="421"/>
    <w:bookmarkStart w:name="z440" w:id="422"/>
    <w:p>
      <w:pPr>
        <w:spacing w:after="0"/>
        <w:ind w:left="0"/>
        <w:jc w:val="both"/>
      </w:pPr>
      <w:r>
        <w:rPr>
          <w:rFonts w:ascii="Times New Roman"/>
          <w:b w:val="false"/>
          <w:i w:val="false"/>
          <w:color w:val="000000"/>
          <w:sz w:val="28"/>
        </w:rPr>
        <w:t>
      5) поступлений от продажи организацией, специализирующейся на улучшении качества кредитных портфелей банков второго уровня, активов, приобретенных в соответствии с целевым перечислением в организацию, специализирующуюся на улучшении качества кредитных портфелей банков второго уровня, при реализации которых возможно возникновение убытков;</w:t>
      </w:r>
    </w:p>
    <w:bookmarkEnd w:id="422"/>
    <w:bookmarkStart w:name="z441" w:id="423"/>
    <w:p>
      <w:pPr>
        <w:spacing w:after="0"/>
        <w:ind w:left="0"/>
        <w:jc w:val="both"/>
      </w:pPr>
      <w:r>
        <w:rPr>
          <w:rFonts w:ascii="Times New Roman"/>
          <w:b w:val="false"/>
          <w:i w:val="false"/>
          <w:color w:val="000000"/>
          <w:sz w:val="28"/>
        </w:rPr>
        <w:t>
      6) поступлений от продажи земельных участков сельскохозяйственного назначения;</w:t>
      </w:r>
    </w:p>
    <w:bookmarkEnd w:id="423"/>
    <w:bookmarkStart w:name="z442" w:id="424"/>
    <w:p>
      <w:pPr>
        <w:spacing w:after="0"/>
        <w:ind w:left="0"/>
        <w:jc w:val="both"/>
      </w:pPr>
      <w:r>
        <w:rPr>
          <w:rFonts w:ascii="Times New Roman"/>
          <w:b w:val="false"/>
          <w:i w:val="false"/>
          <w:color w:val="000000"/>
          <w:sz w:val="28"/>
        </w:rPr>
        <w:t>
      7) инвестиционных доходов от управления НФРК;</w:t>
      </w:r>
    </w:p>
    <w:bookmarkEnd w:id="424"/>
    <w:bookmarkStart w:name="z443" w:id="425"/>
    <w:p>
      <w:pPr>
        <w:spacing w:after="0"/>
        <w:ind w:left="0"/>
        <w:jc w:val="both"/>
      </w:pPr>
      <w:r>
        <w:rPr>
          <w:rFonts w:ascii="Times New Roman"/>
          <w:b w:val="false"/>
          <w:i w:val="false"/>
          <w:color w:val="000000"/>
          <w:sz w:val="28"/>
        </w:rPr>
        <w:t>
      8) иных поступлений и доходов, не запрещенных законодательством Республики Казахстан.</w:t>
      </w:r>
    </w:p>
    <w:bookmarkEnd w:id="425"/>
    <w:bookmarkStart w:name="z444" w:id="426"/>
    <w:p>
      <w:pPr>
        <w:spacing w:after="0"/>
        <w:ind w:left="0"/>
        <w:jc w:val="both"/>
      </w:pPr>
      <w:r>
        <w:rPr>
          <w:rFonts w:ascii="Times New Roman"/>
          <w:b w:val="false"/>
          <w:i w:val="false"/>
          <w:color w:val="000000"/>
          <w:sz w:val="28"/>
        </w:rPr>
        <w:t>
      Максимальный размер НФРК не будет ограничиваться.</w:t>
      </w:r>
    </w:p>
    <w:bookmarkEnd w:id="426"/>
    <w:bookmarkStart w:name="z445" w:id="427"/>
    <w:p>
      <w:pPr>
        <w:spacing w:after="0"/>
        <w:ind w:left="0"/>
        <w:jc w:val="both"/>
      </w:pPr>
      <w:r>
        <w:rPr>
          <w:rFonts w:ascii="Times New Roman"/>
          <w:b w:val="false"/>
          <w:i w:val="false"/>
          <w:color w:val="000000"/>
          <w:sz w:val="28"/>
        </w:rPr>
        <w:t>
      В целях исключения риска недополучения НФРК нефтяных поступлений и максимального охвата организаций в Перечне организаций нефтяного сектора будет разработана четко регламентированная методика по включению организаций в вышеуказанный перечень.</w:t>
      </w:r>
    </w:p>
    <w:bookmarkEnd w:id="427"/>
    <w:bookmarkStart w:name="z446" w:id="428"/>
    <w:p>
      <w:pPr>
        <w:spacing w:after="0"/>
        <w:ind w:left="0"/>
        <w:jc w:val="both"/>
      </w:pPr>
      <w:r>
        <w:rPr>
          <w:rFonts w:ascii="Times New Roman"/>
          <w:b w:val="false"/>
          <w:i w:val="false"/>
          <w:color w:val="000000"/>
          <w:sz w:val="28"/>
        </w:rPr>
        <w:t>
      Кроме того, в целях исключения конфликта интересов вопросы формирования Перечня организаций нефтяного сектора будут рассматриваться на Совете по управлению Национальным фондом РК.</w:t>
      </w:r>
    </w:p>
    <w:bookmarkEnd w:id="428"/>
    <w:bookmarkStart w:name="z447" w:id="429"/>
    <w:p>
      <w:pPr>
        <w:spacing w:after="0"/>
        <w:ind w:left="0"/>
        <w:jc w:val="left"/>
      </w:pPr>
      <w:r>
        <w:rPr>
          <w:rFonts w:ascii="Times New Roman"/>
          <w:b/>
          <w:i w:val="false"/>
          <w:color w:val="000000"/>
        </w:rPr>
        <w:t xml:space="preserve"> Использование средств НФРК</w:t>
      </w:r>
    </w:p>
    <w:bookmarkEnd w:id="429"/>
    <w:bookmarkStart w:name="z840" w:id="430"/>
    <w:p>
      <w:pPr>
        <w:spacing w:after="0"/>
        <w:ind w:left="0"/>
        <w:jc w:val="both"/>
      </w:pPr>
      <w:r>
        <w:rPr>
          <w:rFonts w:ascii="Times New Roman"/>
          <w:b w:val="false"/>
          <w:i w:val="false"/>
          <w:color w:val="000000"/>
          <w:sz w:val="28"/>
        </w:rPr>
        <w:t xml:space="preserve">
      Политика и объем использования НФРК в средне - и долгосрочной перспективе будут исходить из необходимости недопущения сокращения валютных активов НФРК и их накопления для будущих поколений. </w:t>
      </w:r>
    </w:p>
    <w:bookmarkEnd w:id="430"/>
    <w:bookmarkStart w:name="z841" w:id="431"/>
    <w:p>
      <w:pPr>
        <w:spacing w:after="0"/>
        <w:ind w:left="0"/>
        <w:jc w:val="both"/>
      </w:pPr>
      <w:r>
        <w:rPr>
          <w:rFonts w:ascii="Times New Roman"/>
          <w:b w:val="false"/>
          <w:i w:val="false"/>
          <w:color w:val="000000"/>
          <w:sz w:val="28"/>
        </w:rPr>
        <w:t xml:space="preserve">
      НФРК используется: </w:t>
      </w:r>
    </w:p>
    <w:bookmarkEnd w:id="431"/>
    <w:bookmarkStart w:name="z842" w:id="432"/>
    <w:p>
      <w:pPr>
        <w:spacing w:after="0"/>
        <w:ind w:left="0"/>
        <w:jc w:val="both"/>
      </w:pPr>
      <w:r>
        <w:rPr>
          <w:rFonts w:ascii="Times New Roman"/>
          <w:b w:val="false"/>
          <w:i w:val="false"/>
          <w:color w:val="000000"/>
          <w:sz w:val="28"/>
        </w:rPr>
        <w:t>
      1) в виде ежегодного гарантированного трансферта из НФРК в республиканский бюджет;</w:t>
      </w:r>
    </w:p>
    <w:bookmarkEnd w:id="432"/>
    <w:bookmarkStart w:name="z843" w:id="433"/>
    <w:p>
      <w:pPr>
        <w:spacing w:after="0"/>
        <w:ind w:left="0"/>
        <w:jc w:val="both"/>
      </w:pPr>
      <w:r>
        <w:rPr>
          <w:rFonts w:ascii="Times New Roman"/>
          <w:b w:val="false"/>
          <w:i w:val="false"/>
          <w:color w:val="000000"/>
          <w:sz w:val="28"/>
        </w:rPr>
        <w:t>
      2) в виде целевого трансферта из НФРК в республиканский бюджет;</w:t>
      </w:r>
    </w:p>
    <w:bookmarkEnd w:id="433"/>
    <w:bookmarkStart w:name="z844" w:id="434"/>
    <w:p>
      <w:pPr>
        <w:spacing w:after="0"/>
        <w:ind w:left="0"/>
        <w:jc w:val="both"/>
      </w:pPr>
      <w:r>
        <w:rPr>
          <w:rFonts w:ascii="Times New Roman"/>
          <w:b w:val="false"/>
          <w:i w:val="false"/>
          <w:color w:val="000000"/>
          <w:sz w:val="28"/>
        </w:rPr>
        <w:t>
      3) на покрытие расходов, связанных с управлением НФРК и проведением ежегодного аудита;</w:t>
      </w:r>
    </w:p>
    <w:bookmarkEnd w:id="434"/>
    <w:bookmarkStart w:name="z845" w:id="435"/>
    <w:p>
      <w:pPr>
        <w:spacing w:after="0"/>
        <w:ind w:left="0"/>
        <w:jc w:val="both"/>
      </w:pPr>
      <w:r>
        <w:rPr>
          <w:rFonts w:ascii="Times New Roman"/>
          <w:b w:val="false"/>
          <w:i w:val="false"/>
          <w:color w:val="000000"/>
          <w:sz w:val="28"/>
        </w:rPr>
        <w:t>
      4) в виде выплат целевых требований и на покрытие расходов по оплате банковских услуг, связанных с переводами и выплатами целевых накоплений в соответствии с законодательством Республики Казахстан.</w:t>
      </w:r>
    </w:p>
    <w:bookmarkEnd w:id="435"/>
    <w:bookmarkStart w:name="z846" w:id="436"/>
    <w:p>
      <w:pPr>
        <w:spacing w:after="0"/>
        <w:ind w:left="0"/>
        <w:jc w:val="both"/>
      </w:pPr>
      <w:r>
        <w:rPr>
          <w:rFonts w:ascii="Times New Roman"/>
          <w:b w:val="false"/>
          <w:i w:val="false"/>
          <w:color w:val="000000"/>
          <w:sz w:val="28"/>
        </w:rPr>
        <w:t xml:space="preserve">
      Под целевыми требованиями понимаются обязательства Правительства перед гражданами Республики Казахстан, не достигшими восемнадцати лет, формируемые ежегодно за счет пятидесяти процентов от усредненного за восемнадцать лет, предшествующих отчетному году, инвестиционного дохода НФРК и усредненного за восемнадцать лет, предшествующих отчетному году, инвестиционного дохода, ежегодно начисляемого на данную сумму. </w:t>
      </w:r>
    </w:p>
    <w:bookmarkEnd w:id="436"/>
    <w:bookmarkStart w:name="z847" w:id="437"/>
    <w:p>
      <w:pPr>
        <w:spacing w:after="0"/>
        <w:ind w:left="0"/>
        <w:jc w:val="both"/>
      </w:pPr>
      <w:r>
        <w:rPr>
          <w:rFonts w:ascii="Times New Roman"/>
          <w:b w:val="false"/>
          <w:i w:val="false"/>
          <w:color w:val="000000"/>
          <w:sz w:val="28"/>
        </w:rPr>
        <w:t>
      В целях реализации стабилизационной функции НБ в зависимости от сложившейся ситуации на финансовом рынке производит конвертацию и реконвертацию активов НФРК в порядке, установленном Правлением НБ. Данные операции проводятся для выделения гарантированного и целевого трансфертов и не относятся к интервенциям НБ. Гарантированный и целевой трансферты из НФРК должны проходить через республиканский бюджет в соответствии с бюджетными процедурами.</w:t>
      </w:r>
    </w:p>
    <w:bookmarkEnd w:id="437"/>
    <w:bookmarkStart w:name="z848" w:id="438"/>
    <w:p>
      <w:pPr>
        <w:spacing w:after="0"/>
        <w:ind w:left="0"/>
        <w:jc w:val="both"/>
      </w:pPr>
      <w:r>
        <w:rPr>
          <w:rFonts w:ascii="Times New Roman"/>
          <w:b w:val="false"/>
          <w:i w:val="false"/>
          <w:color w:val="000000"/>
          <w:sz w:val="28"/>
        </w:rPr>
        <w:t xml:space="preserve">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прямое кредитование юридических и физических лиц из НФРК, использование активов в качестве обеспечения исполнения обязательств, а также привлечение государственного финансирования из НФРК на нерыночных (льготных) условиях для субъектов квазигосударственного сектора запрещены, за исключением: </w:t>
      </w:r>
    </w:p>
    <w:bookmarkEnd w:id="438"/>
    <w:bookmarkStart w:name="z849" w:id="439"/>
    <w:p>
      <w:pPr>
        <w:spacing w:after="0"/>
        <w:ind w:left="0"/>
        <w:jc w:val="both"/>
      </w:pPr>
      <w:r>
        <w:rPr>
          <w:rFonts w:ascii="Times New Roman"/>
          <w:b w:val="false"/>
          <w:i w:val="false"/>
          <w:color w:val="000000"/>
          <w:sz w:val="28"/>
        </w:rPr>
        <w:t>
      реализации проектов общестранового значения с получением в каждом случае прямого согласия Главы государства после прохождения соответствующей экспертизы (включая оценку проекта) и при отсутствии альтернативных источников финансирования путем приобретения долговых ценных бумаг Фонда, эмитируемых для указанных проектов;</w:t>
      </w:r>
    </w:p>
    <w:bookmarkEnd w:id="439"/>
    <w:bookmarkStart w:name="z850" w:id="440"/>
    <w:p>
      <w:pPr>
        <w:spacing w:after="0"/>
        <w:ind w:left="0"/>
        <w:jc w:val="both"/>
      </w:pPr>
      <w:r>
        <w:rPr>
          <w:rFonts w:ascii="Times New Roman"/>
          <w:b w:val="false"/>
          <w:i w:val="false"/>
          <w:color w:val="000000"/>
          <w:sz w:val="28"/>
        </w:rPr>
        <w:t>
      приобретения акций акционерного общества "Национальная компания "КазМунайГаз" и акционерного общества "Национальная атомная компания "Казатомпром" по решению Правительства с дисконтом к ее рыночной стоимости для финансирования республиканского бюджета с правом приоритетной реализации доли НФРК при проведении международного SPO (Secondary public offering).</w:t>
      </w:r>
    </w:p>
    <w:bookmarkEnd w:id="440"/>
    <w:bookmarkStart w:name="z851" w:id="441"/>
    <w:p>
      <w:pPr>
        <w:spacing w:after="0"/>
        <w:ind w:left="0"/>
        <w:jc w:val="both"/>
      </w:pPr>
      <w:r>
        <w:rPr>
          <w:rFonts w:ascii="Times New Roman"/>
          <w:b w:val="false"/>
          <w:i w:val="false"/>
          <w:color w:val="000000"/>
          <w:sz w:val="28"/>
        </w:rPr>
        <w:t>
      Экспертиза проектов общестранового значения (включая их оценку), предлагаемых к финансированию за счет средств НФРК, а также рассмотрение альтернативных источников финансирования таких проектов, проводится в порядке, определяемом Правительством.</w:t>
      </w:r>
    </w:p>
    <w:bookmarkEnd w:id="441"/>
    <w:bookmarkStart w:name="z852" w:id="442"/>
    <w:p>
      <w:pPr>
        <w:spacing w:after="0"/>
        <w:ind w:left="0"/>
        <w:jc w:val="both"/>
      </w:pPr>
      <w:r>
        <w:rPr>
          <w:rFonts w:ascii="Times New Roman"/>
          <w:b w:val="false"/>
          <w:i w:val="false"/>
          <w:color w:val="000000"/>
          <w:sz w:val="28"/>
        </w:rPr>
        <w:t>
      Средства из НФРК в форме облигационных займов выделяются на следующих условиях:</w:t>
      </w:r>
    </w:p>
    <w:bookmarkEnd w:id="442"/>
    <w:bookmarkStart w:name="z853" w:id="443"/>
    <w:p>
      <w:pPr>
        <w:spacing w:after="0"/>
        <w:ind w:left="0"/>
        <w:jc w:val="both"/>
      </w:pPr>
      <w:r>
        <w:rPr>
          <w:rFonts w:ascii="Times New Roman"/>
          <w:b w:val="false"/>
          <w:i w:val="false"/>
          <w:color w:val="000000"/>
          <w:sz w:val="28"/>
        </w:rPr>
        <w:t>
      облигационные займы в национальной валюте - по ставке не ниже среднегодовой инфляции в Республике Казахстан за последние десять лет согласно последним имеющимся данным по состоянию на конец последнего отчетного года;</w:t>
      </w:r>
    </w:p>
    <w:bookmarkEnd w:id="443"/>
    <w:bookmarkStart w:name="z854" w:id="444"/>
    <w:p>
      <w:pPr>
        <w:spacing w:after="0"/>
        <w:ind w:left="0"/>
        <w:jc w:val="both"/>
      </w:pPr>
      <w:r>
        <w:rPr>
          <w:rFonts w:ascii="Times New Roman"/>
          <w:b w:val="false"/>
          <w:i w:val="false"/>
          <w:color w:val="000000"/>
          <w:sz w:val="28"/>
        </w:rPr>
        <w:t>
      облигационные займы в долларах США - по ставке не ниже среднегодовой инвестиционной доходности активов НФРК за последние десять лет, согласно данным последнего квартального отчета по НФРК, утвержденного Правлением НБ, но не ниже доходности ГЦБ США по состоянию на конец предыдущего квартала с соответствующим сроком обращения;</w:t>
      </w:r>
    </w:p>
    <w:bookmarkEnd w:id="444"/>
    <w:bookmarkStart w:name="z855" w:id="445"/>
    <w:p>
      <w:pPr>
        <w:spacing w:after="0"/>
        <w:ind w:left="0"/>
        <w:jc w:val="both"/>
      </w:pPr>
      <w:r>
        <w:rPr>
          <w:rFonts w:ascii="Times New Roman"/>
          <w:b w:val="false"/>
          <w:i w:val="false"/>
          <w:color w:val="000000"/>
          <w:sz w:val="28"/>
        </w:rPr>
        <w:t>
      доля финансирования из НФРК составляет не более 50% от совокупного объема требуемого финансирования;</w:t>
      </w:r>
    </w:p>
    <w:bookmarkEnd w:id="445"/>
    <w:bookmarkStart w:name="z856" w:id="446"/>
    <w:p>
      <w:pPr>
        <w:spacing w:after="0"/>
        <w:ind w:left="0"/>
        <w:jc w:val="both"/>
      </w:pPr>
      <w:r>
        <w:rPr>
          <w:rFonts w:ascii="Times New Roman"/>
          <w:b w:val="false"/>
          <w:i w:val="false"/>
          <w:color w:val="000000"/>
          <w:sz w:val="28"/>
        </w:rPr>
        <w:t>
      предельный срок облигационных займов составляет не более двадцати лет;</w:t>
      </w:r>
    </w:p>
    <w:bookmarkEnd w:id="446"/>
    <w:bookmarkStart w:name="z857" w:id="447"/>
    <w:p>
      <w:pPr>
        <w:spacing w:after="0"/>
        <w:ind w:left="0"/>
        <w:jc w:val="both"/>
      </w:pPr>
      <w:r>
        <w:rPr>
          <w:rFonts w:ascii="Times New Roman"/>
          <w:b w:val="false"/>
          <w:i w:val="false"/>
          <w:color w:val="000000"/>
          <w:sz w:val="28"/>
        </w:rPr>
        <w:t>
      наличие обязательства по частичному погашению основного долга в период обращения облигаций;</w:t>
      </w:r>
    </w:p>
    <w:bookmarkEnd w:id="447"/>
    <w:bookmarkStart w:name="z858" w:id="448"/>
    <w:p>
      <w:pPr>
        <w:spacing w:after="0"/>
        <w:ind w:left="0"/>
        <w:jc w:val="both"/>
      </w:pPr>
      <w:r>
        <w:rPr>
          <w:rFonts w:ascii="Times New Roman"/>
          <w:b w:val="false"/>
          <w:i w:val="false"/>
          <w:color w:val="000000"/>
          <w:sz w:val="28"/>
        </w:rPr>
        <w:t>
      обязательство частичного и (или) полного досрочного погашения займа после его использования по целевому назначению.</w:t>
      </w:r>
    </w:p>
    <w:bookmarkEnd w:id="448"/>
    <w:bookmarkStart w:name="z859" w:id="449"/>
    <w:p>
      <w:pPr>
        <w:spacing w:after="0"/>
        <w:ind w:left="0"/>
        <w:jc w:val="both"/>
      </w:pPr>
      <w:r>
        <w:rPr>
          <w:rFonts w:ascii="Times New Roman"/>
          <w:b w:val="false"/>
          <w:i w:val="false"/>
          <w:color w:val="000000"/>
          <w:sz w:val="28"/>
        </w:rPr>
        <w:t>
      Средства, полученные от облигационных займов из НФРК, включая средства, выделенные до 2024 года, должны быть использованы в строгом соответствии с целевым назначением, обусловленным в проспекте эмиссии облигации.</w:t>
      </w:r>
    </w:p>
    <w:bookmarkEnd w:id="449"/>
    <w:bookmarkStart w:name="z860" w:id="450"/>
    <w:p>
      <w:pPr>
        <w:spacing w:after="0"/>
        <w:ind w:left="0"/>
        <w:jc w:val="both"/>
      </w:pPr>
      <w:r>
        <w:rPr>
          <w:rFonts w:ascii="Times New Roman"/>
          <w:b w:val="false"/>
          <w:i w:val="false"/>
          <w:color w:val="000000"/>
          <w:sz w:val="28"/>
        </w:rPr>
        <w:t>
      Изменение целевого назначения и (или) срока погашения облигационного займа осуществляется путем выделения нового займа в соответствии с положениями, предусмотренными настоящей Концепцией.</w:t>
      </w:r>
    </w:p>
    <w:bookmarkEnd w:id="450"/>
    <w:bookmarkStart w:name="z861" w:id="451"/>
    <w:p>
      <w:pPr>
        <w:spacing w:after="0"/>
        <w:ind w:left="0"/>
        <w:jc w:val="both"/>
      </w:pPr>
      <w:r>
        <w:rPr>
          <w:rFonts w:ascii="Times New Roman"/>
          <w:b w:val="false"/>
          <w:i w:val="false"/>
          <w:color w:val="000000"/>
          <w:sz w:val="28"/>
        </w:rPr>
        <w:t>
      Отражение в учете и отчетности НФРК долговых ценных бумаг субъектов квазигосударственного сектора осуществляется, согласно международным стандартам финансовой отчетности, по справедливой (рыночной) стоимости в момент первоначального признания.</w:t>
      </w:r>
    </w:p>
    <w:bookmarkEnd w:id="451"/>
    <w:bookmarkStart w:name="z862" w:id="452"/>
    <w:p>
      <w:pPr>
        <w:spacing w:after="0"/>
        <w:ind w:left="0"/>
        <w:jc w:val="both"/>
      </w:pPr>
      <w:r>
        <w:rPr>
          <w:rFonts w:ascii="Times New Roman"/>
          <w:b w:val="false"/>
          <w:i w:val="false"/>
          <w:color w:val="000000"/>
          <w:sz w:val="28"/>
        </w:rPr>
        <w:t>
      Обеспечение сбалансированности бюджета и НФРК будет достигнуто за счет ограничений, установленных бюджетными правилами, предусмотренными настоящей Концепцией.</w:t>
      </w:r>
    </w:p>
    <w:bookmarkEnd w:id="452"/>
    <w:bookmarkStart w:name="z456" w:id="453"/>
    <w:p>
      <w:pPr>
        <w:spacing w:after="0"/>
        <w:ind w:left="0"/>
        <w:jc w:val="left"/>
      </w:pPr>
      <w:r>
        <w:rPr>
          <w:rFonts w:ascii="Times New Roman"/>
          <w:b/>
          <w:i w:val="false"/>
          <w:color w:val="000000"/>
        </w:rPr>
        <w:t xml:space="preserve"> Гарантированный трансферт</w:t>
      </w:r>
    </w:p>
    <w:bookmarkEnd w:id="453"/>
    <w:bookmarkStart w:name="z457" w:id="454"/>
    <w:p>
      <w:pPr>
        <w:spacing w:after="0"/>
        <w:ind w:left="0"/>
        <w:jc w:val="both"/>
      </w:pPr>
      <w:r>
        <w:rPr>
          <w:rFonts w:ascii="Times New Roman"/>
          <w:b w:val="false"/>
          <w:i w:val="false"/>
          <w:color w:val="000000"/>
          <w:sz w:val="28"/>
        </w:rPr>
        <w:t>
      Начиная с 2023 года, гарантированный трансферт будет определяться в размере, не превышающем объем поступлений в НФРК от нефтяного сектора, прогнозируемых при расчетной цене на нефть (цена "отсечения").</w:t>
      </w:r>
    </w:p>
    <w:bookmarkEnd w:id="454"/>
    <w:bookmarkStart w:name="z458" w:id="455"/>
    <w:p>
      <w:pPr>
        <w:spacing w:after="0"/>
        <w:ind w:left="0"/>
        <w:jc w:val="both"/>
      </w:pPr>
      <w:r>
        <w:rPr>
          <w:rFonts w:ascii="Times New Roman"/>
          <w:b w:val="false"/>
          <w:i w:val="false"/>
          <w:color w:val="000000"/>
          <w:sz w:val="28"/>
        </w:rPr>
        <w:t>
      Данное бюджетное правило будет направлено на дальнейшее накопление активов НФРК и снижение ненефтяного дефицита.</w:t>
      </w:r>
    </w:p>
    <w:bookmarkEnd w:id="455"/>
    <w:bookmarkStart w:name="z459" w:id="456"/>
    <w:p>
      <w:pPr>
        <w:spacing w:after="0"/>
        <w:ind w:left="0"/>
        <w:jc w:val="left"/>
      </w:pPr>
      <w:r>
        <w:rPr>
          <w:rFonts w:ascii="Times New Roman"/>
          <w:b/>
          <w:i w:val="false"/>
          <w:color w:val="000000"/>
        </w:rPr>
        <w:t xml:space="preserve"> Целевые трансферты</w:t>
      </w:r>
    </w:p>
    <w:bookmarkEnd w:id="456"/>
    <w:bookmarkStart w:name="z460" w:id="457"/>
    <w:p>
      <w:pPr>
        <w:spacing w:after="0"/>
        <w:ind w:left="0"/>
        <w:jc w:val="both"/>
      </w:pPr>
      <w:r>
        <w:rPr>
          <w:rFonts w:ascii="Times New Roman"/>
          <w:b w:val="false"/>
          <w:i w:val="false"/>
          <w:color w:val="000000"/>
          <w:sz w:val="28"/>
        </w:rPr>
        <w:t>
      Целевые трансферты из НФРК будут выделяться по решению Президента Республики Казахстан на развитие критической инфраструктуры и реализацию проектов общестранового значения.</w:t>
      </w:r>
    </w:p>
    <w:bookmarkEnd w:id="457"/>
    <w:bookmarkStart w:name="z461" w:id="458"/>
    <w:p>
      <w:pPr>
        <w:spacing w:after="0"/>
        <w:ind w:left="0"/>
        <w:jc w:val="both"/>
      </w:pPr>
      <w:r>
        <w:rPr>
          <w:rFonts w:ascii="Times New Roman"/>
          <w:b w:val="false"/>
          <w:i w:val="false"/>
          <w:color w:val="000000"/>
          <w:sz w:val="28"/>
        </w:rPr>
        <w:t>
      В случаях неиспользования или неполного использования по итогам финансового года суммы целевого трансферта, привлеченной из НФРК в республиканский бюджет, неиспользованная сумма будет подлежать возврату в НФРК в следующем финансовом году за счет остатков бюджетных средств.</w:t>
      </w:r>
    </w:p>
    <w:bookmarkEnd w:id="458"/>
    <w:bookmarkStart w:name="z462" w:id="459"/>
    <w:p>
      <w:pPr>
        <w:spacing w:after="0"/>
        <w:ind w:left="0"/>
        <w:jc w:val="left"/>
      </w:pPr>
      <w:r>
        <w:rPr>
          <w:rFonts w:ascii="Times New Roman"/>
          <w:b/>
          <w:i w:val="false"/>
          <w:color w:val="000000"/>
        </w:rPr>
        <w:t xml:space="preserve"> Ограничения по использованию НФРК</w:t>
      </w:r>
    </w:p>
    <w:bookmarkEnd w:id="459"/>
    <w:bookmarkStart w:name="z463" w:id="460"/>
    <w:p>
      <w:pPr>
        <w:spacing w:after="0"/>
        <w:ind w:left="0"/>
        <w:jc w:val="both"/>
      </w:pPr>
      <w:r>
        <w:rPr>
          <w:rFonts w:ascii="Times New Roman"/>
          <w:b w:val="false"/>
          <w:i w:val="false"/>
          <w:color w:val="000000"/>
          <w:sz w:val="28"/>
        </w:rPr>
        <w:t>
      В целях предотвращения дальнейшего сокращения активов НФРК в среднесрочном периоде и возобновления накопления средств в долгосрочной перспективе в 2030 году валютные активы НФРК по прогнозам составят до 100,0 млрд долларов США.</w:t>
      </w:r>
    </w:p>
    <w:bookmarkEnd w:id="460"/>
    <w:bookmarkStart w:name="z464" w:id="461"/>
    <w:p>
      <w:pPr>
        <w:spacing w:after="0"/>
        <w:ind w:left="0"/>
        <w:jc w:val="both"/>
      </w:pPr>
      <w:r>
        <w:rPr>
          <w:rFonts w:ascii="Times New Roman"/>
          <w:b w:val="false"/>
          <w:i w:val="false"/>
          <w:color w:val="000000"/>
          <w:sz w:val="28"/>
        </w:rPr>
        <w:t>
      Реализация стабилизационной функции предполагает обеспечение ежегодного гарантированного трансферта в республиканский бюджет, а также использование целевых трансфертов по решению Президента Республики Казахстан на развитие критической инфраструктуры и реализацию проектов общестранового значения.</w:t>
      </w:r>
    </w:p>
    <w:bookmarkEnd w:id="461"/>
    <w:bookmarkStart w:name="z863" w:id="462"/>
    <w:p>
      <w:pPr>
        <w:spacing w:after="0"/>
        <w:ind w:left="0"/>
        <w:jc w:val="both"/>
      </w:pPr>
      <w:r>
        <w:rPr>
          <w:rFonts w:ascii="Times New Roman"/>
          <w:b w:val="false"/>
          <w:i w:val="false"/>
          <w:color w:val="000000"/>
          <w:sz w:val="28"/>
        </w:rPr>
        <w:t xml:space="preserve">
      Любое иное использование средств НФРК запрещено, включая инвестирование средств НФРК во внутренние финансовые инструменты казахстанских эмитентов, а также на финансирование/софинансирование текущих расходов государства за счет целевых трансфертов из НФРК, за исключением: </w:t>
      </w:r>
    </w:p>
    <w:bookmarkEnd w:id="462"/>
    <w:bookmarkStart w:name="z864" w:id="463"/>
    <w:p>
      <w:pPr>
        <w:spacing w:after="0"/>
        <w:ind w:left="0"/>
        <w:jc w:val="both"/>
      </w:pPr>
      <w:r>
        <w:rPr>
          <w:rFonts w:ascii="Times New Roman"/>
          <w:b w:val="false"/>
          <w:i w:val="false"/>
          <w:color w:val="000000"/>
          <w:sz w:val="28"/>
        </w:rPr>
        <w:t>
      реализации проектов общестранового значения с получением в каждом случае прямого согласия Главы государства после прохождения соответствующей экспертизы (включая оценку проекта) и при отсутствии альтернативных источников финансирования путем приобретения долговых ценных бумаг Фонда, эмитируемых для указанных проектов;</w:t>
      </w:r>
    </w:p>
    <w:bookmarkEnd w:id="463"/>
    <w:bookmarkStart w:name="z865" w:id="464"/>
    <w:p>
      <w:pPr>
        <w:spacing w:after="0"/>
        <w:ind w:left="0"/>
        <w:jc w:val="both"/>
      </w:pPr>
      <w:r>
        <w:rPr>
          <w:rFonts w:ascii="Times New Roman"/>
          <w:b w:val="false"/>
          <w:i w:val="false"/>
          <w:color w:val="000000"/>
          <w:sz w:val="28"/>
        </w:rPr>
        <w:t>
      приобретения акций акционерного общества "Национальная компания "КазМунайГаз" и акционерного общества "Национальная атомная компания "Казатомпром" по решению Правительства с дисконтом к ее рыночной стоимости для финансирования республиканского бюджета, с правом приоритетной реализации доли НФРК при проведении международного SPO (Secondary public offering).</w:t>
      </w:r>
    </w:p>
    <w:bookmarkEnd w:id="464"/>
    <w:bookmarkStart w:name="z466" w:id="465"/>
    <w:p>
      <w:pPr>
        <w:spacing w:after="0"/>
        <w:ind w:left="0"/>
        <w:jc w:val="both"/>
      </w:pPr>
      <w:r>
        <w:rPr>
          <w:rFonts w:ascii="Times New Roman"/>
          <w:b w:val="false"/>
          <w:i w:val="false"/>
          <w:color w:val="000000"/>
          <w:sz w:val="28"/>
        </w:rPr>
        <w:t>
      Для достижения указанной цели на период до 2030 года предусматривается решение следующих задач:</w:t>
      </w:r>
    </w:p>
    <w:bookmarkEnd w:id="465"/>
    <w:bookmarkStart w:name="z467" w:id="466"/>
    <w:p>
      <w:pPr>
        <w:spacing w:after="0"/>
        <w:ind w:left="0"/>
        <w:jc w:val="both"/>
      </w:pPr>
      <w:r>
        <w:rPr>
          <w:rFonts w:ascii="Times New Roman"/>
          <w:b w:val="false"/>
          <w:i w:val="false"/>
          <w:color w:val="000000"/>
          <w:sz w:val="28"/>
        </w:rPr>
        <w:t>
      1) стабилизация активов НФРК и недопущение его дальнейшего сокращения;</w:t>
      </w:r>
    </w:p>
    <w:bookmarkEnd w:id="466"/>
    <w:bookmarkStart w:name="z468" w:id="467"/>
    <w:p>
      <w:pPr>
        <w:spacing w:after="0"/>
        <w:ind w:left="0"/>
        <w:jc w:val="both"/>
      </w:pPr>
      <w:r>
        <w:rPr>
          <w:rFonts w:ascii="Times New Roman"/>
          <w:b w:val="false"/>
          <w:i w:val="false"/>
          <w:color w:val="000000"/>
          <w:sz w:val="28"/>
        </w:rPr>
        <w:t>
      2) обеспечение сбалансированности бюджета и снижение зависимости бюджета от нефтяных доходов, сокращение ненефтяного дефицита;</w:t>
      </w:r>
    </w:p>
    <w:bookmarkEnd w:id="467"/>
    <w:bookmarkStart w:name="z469" w:id="468"/>
    <w:p>
      <w:pPr>
        <w:spacing w:after="0"/>
        <w:ind w:left="0"/>
        <w:jc w:val="both"/>
      </w:pPr>
      <w:r>
        <w:rPr>
          <w:rFonts w:ascii="Times New Roman"/>
          <w:b w:val="false"/>
          <w:i w:val="false"/>
          <w:color w:val="000000"/>
          <w:sz w:val="28"/>
        </w:rPr>
        <w:t>
      3) повышение эффективности управления активами Национального фонда.</w:t>
      </w:r>
    </w:p>
    <w:bookmarkEnd w:id="468"/>
    <w:bookmarkStart w:name="z470" w:id="469"/>
    <w:p>
      <w:pPr>
        <w:spacing w:after="0"/>
        <w:ind w:left="0"/>
        <w:jc w:val="both"/>
      </w:pPr>
      <w:r>
        <w:rPr>
          <w:rFonts w:ascii="Times New Roman"/>
          <w:b w:val="false"/>
          <w:i w:val="false"/>
          <w:color w:val="000000"/>
          <w:sz w:val="28"/>
        </w:rPr>
        <w:t>
      Контроль и мониторинг за целевым, законным и эффективным использованием средств, выделенных из НФРК, осуществляется Комиссией по контролю и мониторингу за расходованием средств, выделенных из НФРК.</w:t>
      </w:r>
    </w:p>
    <w:bookmarkEnd w:id="469"/>
    <w:bookmarkStart w:name="z471" w:id="470"/>
    <w:p>
      <w:pPr>
        <w:spacing w:after="0"/>
        <w:ind w:left="0"/>
        <w:jc w:val="both"/>
      </w:pPr>
      <w:r>
        <w:rPr>
          <w:rFonts w:ascii="Times New Roman"/>
          <w:b w:val="false"/>
          <w:i w:val="false"/>
          <w:color w:val="000000"/>
          <w:sz w:val="28"/>
        </w:rPr>
        <w:t>
      Интенсивное накопление средств НФРК, а также эффективное управление его активами играют ключевую роль в устойчивом развитии Республики Казахстан, требуют правильного планирования заимствований государственного сектора и принятия мер по поддержанию фискальной устойчивости.</w:t>
      </w:r>
    </w:p>
    <w:bookmarkEnd w:id="470"/>
    <w:bookmarkStart w:name="z472" w:id="471"/>
    <w:p>
      <w:pPr>
        <w:spacing w:after="0"/>
        <w:ind w:left="0"/>
        <w:jc w:val="both"/>
      </w:pPr>
      <w:r>
        <w:rPr>
          <w:rFonts w:ascii="Times New Roman"/>
          <w:b w:val="false"/>
          <w:i w:val="false"/>
          <w:color w:val="000000"/>
          <w:sz w:val="28"/>
        </w:rPr>
        <w:t>
      Таким образом, определение адекватного уровня заимствований требует взвешенного подхода с учетом накопленных активов НФРК.</w:t>
      </w:r>
    </w:p>
    <w:bookmarkEnd w:id="471"/>
    <w:bookmarkStart w:name="z473" w:id="472"/>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активами Национального фонда Республики Казахстан</w:t>
      </w:r>
    </w:p>
    <w:bookmarkEnd w:id="472"/>
    <w:bookmarkStart w:name="z474" w:id="473"/>
    <w:p>
      <w:pPr>
        <w:spacing w:after="0"/>
        <w:ind w:left="0"/>
        <w:jc w:val="both"/>
      </w:pPr>
      <w:r>
        <w:rPr>
          <w:rFonts w:ascii="Times New Roman"/>
          <w:b w:val="false"/>
          <w:i w:val="false"/>
          <w:color w:val="000000"/>
          <w:sz w:val="28"/>
        </w:rPr>
        <w:t>
      Доверительное управление активами НФРК осуществляется НБ, оказание содействия и выработка рекомендаций Президенту Республики Казахстан по вопросам использования НФРК - Советом по управлению Национальным фондом в соответствии с Положением о Совете по управлению Национальным фондом.</w:t>
      </w:r>
    </w:p>
    <w:bookmarkEnd w:id="473"/>
    <w:bookmarkStart w:name="z475" w:id="474"/>
    <w:p>
      <w:pPr>
        <w:spacing w:after="0"/>
        <w:ind w:left="0"/>
        <w:jc w:val="both"/>
      </w:pPr>
      <w:r>
        <w:rPr>
          <w:rFonts w:ascii="Times New Roman"/>
          <w:b w:val="false"/>
          <w:i w:val="false"/>
          <w:color w:val="000000"/>
          <w:sz w:val="28"/>
        </w:rPr>
        <w:t>
      Предлагается разработка отдельного документа - Концепции управления активами Национального фонда Республики Казахстан, утверждаемой Указом Президента Республики Казахстан, в которой будут отражены, в том числе все положения действующей Концепции НФРК в части управления активами НФРК.</w:t>
      </w:r>
    </w:p>
    <w:bookmarkEnd w:id="474"/>
    <w:bookmarkStart w:name="z476" w:id="475"/>
    <w:p>
      <w:pPr>
        <w:spacing w:after="0"/>
        <w:ind w:left="0"/>
        <w:jc w:val="left"/>
      </w:pPr>
      <w:r>
        <w:rPr>
          <w:rFonts w:ascii="Times New Roman"/>
          <w:b/>
          <w:i w:val="false"/>
          <w:color w:val="000000"/>
        </w:rPr>
        <w:t xml:space="preserve"> 5.4. Налогово-бюджетная политика</w:t>
      </w:r>
    </w:p>
    <w:bookmarkEnd w:id="475"/>
    <w:bookmarkStart w:name="z477" w:id="476"/>
    <w:p>
      <w:pPr>
        <w:spacing w:after="0"/>
        <w:ind w:left="0"/>
        <w:jc w:val="left"/>
      </w:pPr>
      <w:r>
        <w:rPr>
          <w:rFonts w:ascii="Times New Roman"/>
          <w:b/>
          <w:i w:val="false"/>
          <w:color w:val="000000"/>
        </w:rPr>
        <w:t xml:space="preserve"> 5.4.1. Определение набора бюджетных правил</w:t>
      </w:r>
    </w:p>
    <w:bookmarkEnd w:id="476"/>
    <w:bookmarkStart w:name="z478" w:id="477"/>
    <w:p>
      <w:pPr>
        <w:spacing w:after="0"/>
        <w:ind w:left="0"/>
        <w:jc w:val="both"/>
      </w:pPr>
      <w:r>
        <w:rPr>
          <w:rFonts w:ascii="Times New Roman"/>
          <w:b w:val="false"/>
          <w:i w:val="false"/>
          <w:color w:val="000000"/>
          <w:sz w:val="28"/>
        </w:rPr>
        <w:t>
      Повышение устойчивости государственных финансов и снижение волатильности фискальной политики будут обеспечиваться через определение системы бюджетных правил, формирование и реализацию бюджетной политики в рамках бюджетных правил.</w:t>
      </w:r>
    </w:p>
    <w:bookmarkEnd w:id="477"/>
    <w:bookmarkStart w:name="z479" w:id="478"/>
    <w:p>
      <w:pPr>
        <w:spacing w:after="0"/>
        <w:ind w:left="0"/>
        <w:jc w:val="both"/>
      </w:pPr>
      <w:r>
        <w:rPr>
          <w:rFonts w:ascii="Times New Roman"/>
          <w:b w:val="false"/>
          <w:i w:val="false"/>
          <w:color w:val="000000"/>
          <w:sz w:val="28"/>
        </w:rPr>
        <w:t>
      Бюджетные правила будут разделены на основные и вспомогательные.</w:t>
      </w:r>
    </w:p>
    <w:bookmarkEnd w:id="478"/>
    <w:bookmarkStart w:name="z480" w:id="479"/>
    <w:p>
      <w:pPr>
        <w:spacing w:after="0"/>
        <w:ind w:left="0"/>
        <w:jc w:val="both"/>
      </w:pPr>
      <w:r>
        <w:rPr>
          <w:rFonts w:ascii="Times New Roman"/>
          <w:b w:val="false"/>
          <w:i w:val="false"/>
          <w:color w:val="000000"/>
          <w:sz w:val="28"/>
        </w:rPr>
        <w:t>
      Основные бюджетные правила включают правило о гарантированном трансферте из НФРК и правило о расходах республиканского бюджета.</w:t>
      </w:r>
    </w:p>
    <w:bookmarkEnd w:id="479"/>
    <w:bookmarkStart w:name="z481" w:id="480"/>
    <w:p>
      <w:pPr>
        <w:spacing w:after="0"/>
        <w:ind w:left="0"/>
        <w:jc w:val="both"/>
      </w:pPr>
      <w:r>
        <w:rPr>
          <w:rFonts w:ascii="Times New Roman"/>
          <w:b w:val="false"/>
          <w:i w:val="false"/>
          <w:color w:val="000000"/>
          <w:sz w:val="28"/>
        </w:rPr>
        <w:t>
      В соответствии с правилом о гарантированном трансферте из НФРК гарантированный трансферт из НФРК не должен превышать объем поступлений в НФРК от организаций нефтяного сектора, прогнозируемых при цене на нефть (цена "отсечения").</w:t>
      </w:r>
    </w:p>
    <w:bookmarkEnd w:id="480"/>
    <w:bookmarkStart w:name="z482" w:id="481"/>
    <w:p>
      <w:pPr>
        <w:spacing w:after="0"/>
        <w:ind w:left="0"/>
        <w:jc w:val="both"/>
      </w:pPr>
      <w:r>
        <w:rPr>
          <w:rFonts w:ascii="Times New Roman"/>
          <w:b w:val="false"/>
          <w:i w:val="false"/>
          <w:color w:val="000000"/>
          <w:sz w:val="28"/>
        </w:rPr>
        <w:t>
      Цена "отсечения" на нефть будет определяться в соответствии с правилами, утверждаемыми приказом Министра национальной экономики по согласованию с НБ и при участии СЭП.</w:t>
      </w:r>
    </w:p>
    <w:bookmarkEnd w:id="481"/>
    <w:bookmarkStart w:name="z483" w:id="482"/>
    <w:p>
      <w:pPr>
        <w:spacing w:after="0"/>
        <w:ind w:left="0"/>
        <w:jc w:val="both"/>
      </w:pPr>
      <w:r>
        <w:rPr>
          <w:rFonts w:ascii="Times New Roman"/>
          <w:b w:val="false"/>
          <w:i w:val="false"/>
          <w:color w:val="000000"/>
          <w:sz w:val="28"/>
        </w:rPr>
        <w:t>
      Для усиления сберегательной функции НФРК цена "отсечения" будет корректироваться на рост объема добычи нефти, превышающий максимальный допандемический уровень добычи (90,5 млн тонн). При превышении указанного уровня добычи цена отсечения будет скорректирована в сторону снижения.</w:t>
      </w:r>
    </w:p>
    <w:bookmarkEnd w:id="482"/>
    <w:bookmarkStart w:name="z484" w:id="483"/>
    <w:p>
      <w:pPr>
        <w:spacing w:after="0"/>
        <w:ind w:left="0"/>
        <w:jc w:val="both"/>
      </w:pPr>
      <w:r>
        <w:rPr>
          <w:rFonts w:ascii="Times New Roman"/>
          <w:b w:val="false"/>
          <w:i w:val="false"/>
          <w:color w:val="000000"/>
          <w:sz w:val="28"/>
        </w:rPr>
        <w:t>
      Достаточный уровень консервативности при определении цены отсечения на нефть позволит обеспечить сохранность и накопление средств НФРК, что позволит поддерживать устойчивый рост экономики после истощения нефтяных запасов.</w:t>
      </w:r>
    </w:p>
    <w:bookmarkEnd w:id="483"/>
    <w:bookmarkStart w:name="z485" w:id="484"/>
    <w:p>
      <w:pPr>
        <w:spacing w:after="0"/>
        <w:ind w:left="0"/>
        <w:jc w:val="both"/>
      </w:pPr>
      <w:r>
        <w:rPr>
          <w:rFonts w:ascii="Times New Roman"/>
          <w:b w:val="false"/>
          <w:i w:val="false"/>
          <w:color w:val="000000"/>
          <w:sz w:val="28"/>
        </w:rPr>
        <w:t>
      С 2024 года размер гарантированного трансферта из НФРК в республиканский бюджет прогнозируется по траектории цены отсечения, определенной в соответствии с приказом Министра национальной экономики, на уровне не выше 2 трлн тенге.</w:t>
      </w:r>
    </w:p>
    <w:bookmarkEnd w:id="484"/>
    <w:bookmarkStart w:name="z486" w:id="485"/>
    <w:p>
      <w:pPr>
        <w:spacing w:after="0"/>
        <w:ind w:left="0"/>
        <w:jc w:val="both"/>
      </w:pPr>
      <w:r>
        <w:rPr>
          <w:rFonts w:ascii="Times New Roman"/>
          <w:b w:val="false"/>
          <w:i w:val="false"/>
          <w:color w:val="000000"/>
          <w:sz w:val="28"/>
        </w:rPr>
        <w:t>
      Правило о гарантированном трансферте из НФРК будет способствовать выполнению задачи по снижению ненефтяного дефицита и недопущению сокращения активов НФРК.</w:t>
      </w:r>
    </w:p>
    <w:bookmarkEnd w:id="485"/>
    <w:bookmarkStart w:name="z487" w:id="486"/>
    <w:p>
      <w:pPr>
        <w:spacing w:after="0"/>
        <w:ind w:left="0"/>
        <w:jc w:val="both"/>
      </w:pPr>
      <w:r>
        <w:rPr>
          <w:rFonts w:ascii="Times New Roman"/>
          <w:b w:val="false"/>
          <w:i w:val="false"/>
          <w:color w:val="000000"/>
          <w:sz w:val="28"/>
        </w:rPr>
        <w:t>
      В соответствии с правилом о расходах республиканского бюджета устанавливается ограничение на темпы роста расходов республиканского бюджета на плановый период на уровне долгосрочного экономического роста, увеличенного на цель по инфляции.</w:t>
      </w:r>
    </w:p>
    <w:bookmarkEnd w:id="486"/>
    <w:bookmarkStart w:name="z488" w:id="487"/>
    <w:p>
      <w:pPr>
        <w:spacing w:after="0"/>
        <w:ind w:left="0"/>
        <w:jc w:val="both"/>
      </w:pPr>
      <w:r>
        <w:rPr>
          <w:rFonts w:ascii="Times New Roman"/>
          <w:b w:val="false"/>
          <w:i w:val="false"/>
          <w:color w:val="000000"/>
          <w:sz w:val="28"/>
        </w:rPr>
        <w:t>
      При этом уровень долгосрочного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487"/>
    <w:bookmarkStart w:name="z489" w:id="488"/>
    <w:p>
      <w:pPr>
        <w:spacing w:after="0"/>
        <w:ind w:left="0"/>
        <w:jc w:val="both"/>
      </w:pPr>
      <w:r>
        <w:rPr>
          <w:rFonts w:ascii="Times New Roman"/>
          <w:b w:val="false"/>
          <w:i w:val="false"/>
          <w:color w:val="000000"/>
          <w:sz w:val="28"/>
        </w:rPr>
        <w:t>
      Цель по инфляции определяется как центр целевого ориентира по инфляции на плановый период, установленный НБ.</w:t>
      </w:r>
    </w:p>
    <w:bookmarkEnd w:id="488"/>
    <w:bookmarkStart w:name="z490" w:id="489"/>
    <w:p>
      <w:pPr>
        <w:spacing w:after="0"/>
        <w:ind w:left="0"/>
        <w:jc w:val="both"/>
      </w:pPr>
      <w:r>
        <w:rPr>
          <w:rFonts w:ascii="Times New Roman"/>
          <w:b w:val="false"/>
          <w:i w:val="false"/>
          <w:color w:val="000000"/>
          <w:sz w:val="28"/>
        </w:rPr>
        <w:t>
      В результате применения правила о расходах республиканского бюджета объем расходов не будет опережать темпы роста реального ВВП и инфляции и будет ограничен в период экономического роста.</w:t>
      </w:r>
    </w:p>
    <w:bookmarkEnd w:id="489"/>
    <w:bookmarkStart w:name="z491" w:id="490"/>
    <w:p>
      <w:pPr>
        <w:spacing w:after="0"/>
        <w:ind w:left="0"/>
        <w:jc w:val="both"/>
      </w:pPr>
      <w:r>
        <w:rPr>
          <w:rFonts w:ascii="Times New Roman"/>
          <w:b w:val="false"/>
          <w:i w:val="false"/>
          <w:color w:val="000000"/>
          <w:sz w:val="28"/>
        </w:rPr>
        <w:t>
      Основные бюджетные правила закреплены в Бюджетном кодексе и будут использованы при формировании республиканского бюджета на 2023 и последующие годы.</w:t>
      </w:r>
    </w:p>
    <w:bookmarkEnd w:id="490"/>
    <w:bookmarkStart w:name="z492" w:id="491"/>
    <w:p>
      <w:pPr>
        <w:spacing w:after="0"/>
        <w:ind w:left="0"/>
        <w:jc w:val="both"/>
      </w:pPr>
      <w:r>
        <w:rPr>
          <w:rFonts w:ascii="Times New Roman"/>
          <w:b w:val="false"/>
          <w:i w:val="false"/>
          <w:color w:val="000000"/>
          <w:sz w:val="28"/>
        </w:rPr>
        <w:t>
      Темпы роста планируемых расходов будут также ограничиваться ненефтяными доходами бюджета и гарантированным трансфертом из НФРК в республиканский бюджет, прогнозируемым при цене "отсечения", целевым трансфертом, а также дефицитом, планируемым с учетом установленных ограничений.</w:t>
      </w:r>
    </w:p>
    <w:bookmarkEnd w:id="491"/>
    <w:bookmarkStart w:name="z493" w:id="492"/>
    <w:p>
      <w:pPr>
        <w:spacing w:after="0"/>
        <w:ind w:left="0"/>
        <w:jc w:val="both"/>
      </w:pPr>
      <w:r>
        <w:rPr>
          <w:rFonts w:ascii="Times New Roman"/>
          <w:b w:val="false"/>
          <w:i w:val="false"/>
          <w:color w:val="000000"/>
          <w:sz w:val="28"/>
        </w:rPr>
        <w:t>
      В этой связи основные бюджетные правила не будут существовать автономно, а будут обеспечивать при комплексном применении с другими видами бюджетных правил согласованность бюджетной политики.</w:t>
      </w:r>
    </w:p>
    <w:bookmarkEnd w:id="492"/>
    <w:bookmarkStart w:name="z494" w:id="493"/>
    <w:p>
      <w:pPr>
        <w:spacing w:after="0"/>
        <w:ind w:left="0"/>
        <w:jc w:val="both"/>
      </w:pPr>
      <w:r>
        <w:rPr>
          <w:rFonts w:ascii="Times New Roman"/>
          <w:b w:val="false"/>
          <w:i w:val="false"/>
          <w:color w:val="000000"/>
          <w:sz w:val="28"/>
        </w:rPr>
        <w:t>
      В качестве вспомогательных видов бюджетных правил будут внедрены правило о ненефтяном дефиците бюджета, правило о чистых активах государства, правило о долге и другие.</w:t>
      </w:r>
    </w:p>
    <w:bookmarkEnd w:id="493"/>
    <w:bookmarkStart w:name="z495" w:id="494"/>
    <w:p>
      <w:pPr>
        <w:spacing w:after="0"/>
        <w:ind w:left="0"/>
        <w:jc w:val="both"/>
      </w:pPr>
      <w:r>
        <w:rPr>
          <w:rFonts w:ascii="Times New Roman"/>
          <w:b w:val="false"/>
          <w:i w:val="false"/>
          <w:color w:val="000000"/>
          <w:sz w:val="28"/>
        </w:rPr>
        <w:t>
      Для обеспечения снижения зависимости республиканского бюджета от нефтяных доходов и повышения устойчивости бюджета к внешним факторам налогово-бюджетная политика должна формироваться исходя из постепенного снижения ненефтяного дефицита относительно ВВП.</w:t>
      </w:r>
    </w:p>
    <w:bookmarkEnd w:id="494"/>
    <w:bookmarkStart w:name="z496" w:id="495"/>
    <w:p>
      <w:pPr>
        <w:spacing w:after="0"/>
        <w:ind w:left="0"/>
        <w:jc w:val="both"/>
      </w:pPr>
      <w:r>
        <w:rPr>
          <w:rFonts w:ascii="Times New Roman"/>
          <w:b w:val="false"/>
          <w:i w:val="false"/>
          <w:color w:val="000000"/>
          <w:sz w:val="28"/>
        </w:rPr>
        <w:t>
      С учетом этого уровень ненефтяного дефицита будет снижен до уровня не выше 5,0 % к ВВП в 2030 году.</w:t>
      </w:r>
    </w:p>
    <w:bookmarkEnd w:id="495"/>
    <w:bookmarkStart w:name="z497" w:id="496"/>
    <w:p>
      <w:pPr>
        <w:spacing w:after="0"/>
        <w:ind w:left="0"/>
        <w:jc w:val="both"/>
      </w:pPr>
      <w:r>
        <w:rPr>
          <w:rFonts w:ascii="Times New Roman"/>
          <w:b w:val="false"/>
          <w:i w:val="false"/>
          <w:color w:val="000000"/>
          <w:sz w:val="28"/>
        </w:rPr>
        <w:t>
      Достижение целевых значений по ненефтяному дефициту будет обеспечиваться за счет управления дефицитом бюджета, трансфертами из НФРК, установления предельных значений расходов, а также стимулирования роста ненефтяных доходов.</w:t>
      </w:r>
    </w:p>
    <w:bookmarkEnd w:id="496"/>
    <w:bookmarkStart w:name="z498" w:id="497"/>
    <w:p>
      <w:pPr>
        <w:spacing w:after="0"/>
        <w:ind w:left="0"/>
        <w:jc w:val="both"/>
      </w:pPr>
      <w:r>
        <w:rPr>
          <w:rFonts w:ascii="Times New Roman"/>
          <w:b w:val="false"/>
          <w:i w:val="false"/>
          <w:color w:val="000000"/>
          <w:sz w:val="28"/>
        </w:rPr>
        <w:t>
      Правило о чистых активах государства направлено на недопущение сокращения чистых активов государства, определяемых отношением внешнего долга правительства, гарантированного долга и внешнего долга квазигоссектора к валютным активам НФРК.</w:t>
      </w:r>
    </w:p>
    <w:bookmarkEnd w:id="497"/>
    <w:bookmarkStart w:name="z499" w:id="498"/>
    <w:p>
      <w:pPr>
        <w:spacing w:after="0"/>
        <w:ind w:left="0"/>
        <w:jc w:val="both"/>
      </w:pPr>
      <w:r>
        <w:rPr>
          <w:rFonts w:ascii="Times New Roman"/>
          <w:b w:val="false"/>
          <w:i w:val="false"/>
          <w:color w:val="000000"/>
          <w:sz w:val="28"/>
        </w:rPr>
        <w:t>
      Важным требованием к системе бюджетных правил является согласованность различных элементов правил между собой, при которых следование одному из правил способствует исполнению остальных.</w:t>
      </w:r>
    </w:p>
    <w:bookmarkEnd w:id="498"/>
    <w:bookmarkStart w:name="z500" w:id="499"/>
    <w:p>
      <w:pPr>
        <w:spacing w:after="0"/>
        <w:ind w:left="0"/>
        <w:jc w:val="both"/>
      </w:pPr>
      <w:r>
        <w:rPr>
          <w:rFonts w:ascii="Times New Roman"/>
          <w:b w:val="false"/>
          <w:i w:val="false"/>
          <w:color w:val="000000"/>
          <w:sz w:val="28"/>
        </w:rPr>
        <w:t>
      Неотъемлемой частью системы бюджетных правил будет выступать правило о долге.</w:t>
      </w:r>
    </w:p>
    <w:bookmarkEnd w:id="499"/>
    <w:bookmarkStart w:name="z501" w:id="500"/>
    <w:p>
      <w:pPr>
        <w:spacing w:after="0"/>
        <w:ind w:left="0"/>
        <w:jc w:val="both"/>
      </w:pPr>
      <w:r>
        <w:rPr>
          <w:rFonts w:ascii="Times New Roman"/>
          <w:b w:val="false"/>
          <w:i w:val="false"/>
          <w:color w:val="000000"/>
          <w:sz w:val="28"/>
        </w:rPr>
        <w:t>
      Политика управления долгом будет направлена на поддержание правительственного и государственного долга, расходов по обслуживанию долга Правительства в установленных настоящей Концепцией пределах.</w:t>
      </w:r>
    </w:p>
    <w:bookmarkEnd w:id="500"/>
    <w:bookmarkStart w:name="z502" w:id="501"/>
    <w:p>
      <w:pPr>
        <w:spacing w:after="0"/>
        <w:ind w:left="0"/>
        <w:jc w:val="both"/>
      </w:pPr>
      <w:r>
        <w:rPr>
          <w:rFonts w:ascii="Times New Roman"/>
          <w:b w:val="false"/>
          <w:i w:val="false"/>
          <w:color w:val="000000"/>
          <w:sz w:val="28"/>
        </w:rPr>
        <w:t>
      Для сдерживания долга Правительства в установленных пределах планируется планомерное снижение уровня дефицита бюджета до 2,0 % к ВВП в 2030 году.</w:t>
      </w:r>
    </w:p>
    <w:bookmarkEnd w:id="501"/>
    <w:bookmarkStart w:name="z503" w:id="502"/>
    <w:p>
      <w:pPr>
        <w:spacing w:after="0"/>
        <w:ind w:left="0"/>
        <w:jc w:val="both"/>
      </w:pPr>
      <w:r>
        <w:rPr>
          <w:rFonts w:ascii="Times New Roman"/>
          <w:b w:val="false"/>
          <w:i w:val="false"/>
          <w:color w:val="000000"/>
          <w:sz w:val="28"/>
        </w:rPr>
        <w:t>
      При росте цен на сырую нефть, сохранении объемов облагаемого экспорта на сырую нефть или его увеличении и, соответственно, увеличении поступлений в бюджет вывозной таможенной пошлины на сырую нефть дефицит будет сокращаться. При снижении цен на сырую нефть дефицит может увеличиваться в пределах параметров, обеспечивающих экономическую безопасность.</w:t>
      </w:r>
    </w:p>
    <w:bookmarkEnd w:id="502"/>
    <w:bookmarkStart w:name="z504" w:id="503"/>
    <w:p>
      <w:pPr>
        <w:spacing w:after="0"/>
        <w:ind w:left="0"/>
        <w:jc w:val="both"/>
      </w:pPr>
      <w:r>
        <w:rPr>
          <w:rFonts w:ascii="Times New Roman"/>
          <w:b w:val="false"/>
          <w:i w:val="false"/>
          <w:color w:val="000000"/>
          <w:sz w:val="28"/>
        </w:rPr>
        <w:t>
      Понятие бюджетного правила, исключения из правил, вопрос определения системы бюджетных правил, понятия корректировки, отклонения от правил будут закреплены в Бюджетном кодексе.</w:t>
      </w:r>
    </w:p>
    <w:bookmarkEnd w:id="503"/>
    <w:bookmarkStart w:name="z505" w:id="504"/>
    <w:p>
      <w:pPr>
        <w:spacing w:after="0"/>
        <w:ind w:left="0"/>
        <w:jc w:val="both"/>
      </w:pPr>
      <w:r>
        <w:rPr>
          <w:rFonts w:ascii="Times New Roman"/>
          <w:b w:val="false"/>
          <w:i w:val="false"/>
          <w:color w:val="000000"/>
          <w:sz w:val="28"/>
        </w:rPr>
        <w:t>
      Целевой ориентир правила о гарантированном трансферте из НФРК согласно пункту 2 статьи 24 Бюджетного кодекса ежегодно утверждается законом Республики Казахстан.</w:t>
      </w:r>
    </w:p>
    <w:bookmarkEnd w:id="504"/>
    <w:bookmarkStart w:name="z506" w:id="505"/>
    <w:p>
      <w:pPr>
        <w:spacing w:after="0"/>
        <w:ind w:left="0"/>
        <w:jc w:val="both"/>
      </w:pPr>
      <w:r>
        <w:rPr>
          <w:rFonts w:ascii="Times New Roman"/>
          <w:b w:val="false"/>
          <w:i w:val="false"/>
          <w:color w:val="000000"/>
          <w:sz w:val="28"/>
        </w:rPr>
        <w:t>
      Размеры дефицита и ненефтяного дефицита республиканского бюджета согласно пункту 3 статьи 71 Бюджетного кодекса ежегодно утверждаются в законе о республиканском бюджете.</w:t>
      </w:r>
    </w:p>
    <w:bookmarkEnd w:id="505"/>
    <w:bookmarkStart w:name="z507" w:id="506"/>
    <w:p>
      <w:pPr>
        <w:spacing w:after="0"/>
        <w:ind w:left="0"/>
        <w:jc w:val="both"/>
      </w:pPr>
      <w:r>
        <w:rPr>
          <w:rFonts w:ascii="Times New Roman"/>
          <w:b w:val="false"/>
          <w:i w:val="false"/>
          <w:color w:val="000000"/>
          <w:sz w:val="28"/>
        </w:rPr>
        <w:t>
      Целевые ориентиры правил о расходах республиканского бюджета, чистых активах государства и долге должны устанавливаться в составе ПСЭР республики, составляемого согласно статье 61 Бюджетного кодекса.</w:t>
      </w:r>
    </w:p>
    <w:bookmarkEnd w:id="506"/>
    <w:bookmarkStart w:name="z508" w:id="507"/>
    <w:p>
      <w:pPr>
        <w:spacing w:after="0"/>
        <w:ind w:left="0"/>
        <w:jc w:val="both"/>
      </w:pPr>
      <w:r>
        <w:rPr>
          <w:rFonts w:ascii="Times New Roman"/>
          <w:b w:val="false"/>
          <w:i w:val="false"/>
          <w:color w:val="000000"/>
          <w:sz w:val="28"/>
        </w:rPr>
        <w:t>
      Наиболее эффективными признаны бюджетные правила, адаптированные к меняющимся экономическим условиям и способные реагировать на шоковые изменения в экономике.</w:t>
      </w:r>
    </w:p>
    <w:bookmarkEnd w:id="507"/>
    <w:bookmarkStart w:name="z509" w:id="508"/>
    <w:p>
      <w:pPr>
        <w:spacing w:after="0"/>
        <w:ind w:left="0"/>
        <w:jc w:val="both"/>
      </w:pPr>
      <w:r>
        <w:rPr>
          <w:rFonts w:ascii="Times New Roman"/>
          <w:b w:val="false"/>
          <w:i w:val="false"/>
          <w:color w:val="000000"/>
          <w:sz w:val="28"/>
        </w:rPr>
        <w:t>
      На стадии экономического подъема будут приниматься усилия в направлении достижения целевых ориентиров бюджетных правил, тогда как на стадии спада экономики возможности соответствующей корректировки могут быть ограничены.</w:t>
      </w:r>
    </w:p>
    <w:bookmarkEnd w:id="508"/>
    <w:bookmarkStart w:name="z510" w:id="509"/>
    <w:p>
      <w:pPr>
        <w:spacing w:after="0"/>
        <w:ind w:left="0"/>
        <w:jc w:val="both"/>
      </w:pPr>
      <w:r>
        <w:rPr>
          <w:rFonts w:ascii="Times New Roman"/>
          <w:b w:val="false"/>
          <w:i w:val="false"/>
          <w:color w:val="000000"/>
          <w:sz w:val="28"/>
        </w:rPr>
        <w:t>
      В кризисных ситуациях (резкое снижение темпов экономического роста с одновременным снижением мировых цен на энергоносители, пандемия и прочее) для того, чтобы целевые ориентиры не ограничивали потенциал использования бюджетных средств для стимулирования экономического развития в период замедления, будет предусмотрен механизм временного смягчения/временного отклонения от бюджетных правил с механизмом обязательного восстановления показателей в течение трех лет.</w:t>
      </w:r>
    </w:p>
    <w:bookmarkEnd w:id="509"/>
    <w:bookmarkStart w:name="z511" w:id="510"/>
    <w:p>
      <w:pPr>
        <w:spacing w:after="0"/>
        <w:ind w:left="0"/>
        <w:jc w:val="both"/>
      </w:pPr>
      <w:r>
        <w:rPr>
          <w:rFonts w:ascii="Times New Roman"/>
          <w:b w:val="false"/>
          <w:i w:val="false"/>
          <w:color w:val="000000"/>
          <w:sz w:val="28"/>
        </w:rPr>
        <w:t>
      Корректировку целевых ориентиров бюджетных правил возможно осуществлять при возникновении кризисных и чрезвычайных ситуаций, повлекших снижение экономического роста и доходов бюджета, рост обязательств государства и расходов бюджета, не покрываемых собственными доходами бюджета.</w:t>
      </w:r>
    </w:p>
    <w:bookmarkEnd w:id="510"/>
    <w:bookmarkStart w:name="z512" w:id="511"/>
    <w:p>
      <w:pPr>
        <w:spacing w:after="0"/>
        <w:ind w:left="0"/>
        <w:jc w:val="both"/>
      </w:pPr>
      <w:r>
        <w:rPr>
          <w:rFonts w:ascii="Times New Roman"/>
          <w:b w:val="false"/>
          <w:i w:val="false"/>
          <w:color w:val="000000"/>
          <w:sz w:val="28"/>
        </w:rPr>
        <w:t>
      В кризисных и чрезвычайных ситуациях корректировка целевых ориентиров может осуществляться путем внесения изменений в документы, устанавливающие целевые ориентиры, согласно бюджетному законодательству.</w:t>
      </w:r>
    </w:p>
    <w:bookmarkEnd w:id="511"/>
    <w:bookmarkStart w:name="z513" w:id="512"/>
    <w:p>
      <w:pPr>
        <w:spacing w:after="0"/>
        <w:ind w:left="0"/>
        <w:jc w:val="both"/>
      </w:pPr>
      <w:r>
        <w:rPr>
          <w:rFonts w:ascii="Times New Roman"/>
          <w:b w:val="false"/>
          <w:i w:val="false"/>
          <w:color w:val="000000"/>
          <w:sz w:val="28"/>
        </w:rPr>
        <w:t>
      При этом должна быть разработана прогнозная траектория временной корректировки целевых ориентиров с разработкой плана действий по возврату к изначальному целевому ориентиру в течение последующих трех лет, отражением корректируемых целевых ориентиров в бюджетных параметрах республиканского бюджета в составе ПСЭР республики.</w:t>
      </w:r>
    </w:p>
    <w:bookmarkEnd w:id="512"/>
    <w:bookmarkStart w:name="z514" w:id="513"/>
    <w:p>
      <w:pPr>
        <w:spacing w:after="0"/>
        <w:ind w:left="0"/>
        <w:jc w:val="both"/>
      </w:pPr>
      <w:r>
        <w:rPr>
          <w:rFonts w:ascii="Times New Roman"/>
          <w:b w:val="false"/>
          <w:i w:val="false"/>
          <w:color w:val="000000"/>
          <w:sz w:val="28"/>
        </w:rPr>
        <w:t>
      Эффективность работы бюджетных правил будет также подкрепляться прочными институциональными механизмами, повышающими убедительность проводимой бюджетной политики и доверие инвесторов.</w:t>
      </w:r>
    </w:p>
    <w:bookmarkEnd w:id="513"/>
    <w:bookmarkStart w:name="z515" w:id="514"/>
    <w:p>
      <w:pPr>
        <w:spacing w:after="0"/>
        <w:ind w:left="0"/>
        <w:jc w:val="both"/>
      </w:pPr>
      <w:r>
        <w:rPr>
          <w:rFonts w:ascii="Times New Roman"/>
          <w:b w:val="false"/>
          <w:i w:val="false"/>
          <w:color w:val="000000"/>
          <w:sz w:val="28"/>
        </w:rPr>
        <w:t>
      Для обеспечения эффективности работы бюджетных правил и усиления фискальной дисциплины будет задействован СЭП.</w:t>
      </w:r>
    </w:p>
    <w:bookmarkEnd w:id="514"/>
    <w:bookmarkStart w:name="z516" w:id="515"/>
    <w:p>
      <w:pPr>
        <w:spacing w:after="0"/>
        <w:ind w:left="0"/>
        <w:jc w:val="both"/>
      </w:pPr>
      <w:r>
        <w:rPr>
          <w:rFonts w:ascii="Times New Roman"/>
          <w:b w:val="false"/>
          <w:i w:val="false"/>
          <w:color w:val="000000"/>
          <w:sz w:val="28"/>
        </w:rPr>
        <w:t>
      СЭП будет осуществлять рассмотрение целевых ориентиров бюджетных правил. Деятельность Совета в целом поможет повысить строгость и прозрачность системы бюджетных правил.</w:t>
      </w:r>
    </w:p>
    <w:bookmarkEnd w:id="515"/>
    <w:bookmarkStart w:name="z517" w:id="516"/>
    <w:p>
      <w:pPr>
        <w:spacing w:after="0"/>
        <w:ind w:left="0"/>
        <w:jc w:val="both"/>
      </w:pPr>
      <w:r>
        <w:rPr>
          <w:rFonts w:ascii="Times New Roman"/>
          <w:b w:val="false"/>
          <w:i w:val="false"/>
          <w:color w:val="000000"/>
          <w:sz w:val="28"/>
        </w:rPr>
        <w:t>
      В 2020 году для понимания методологических подходов разработки отчета о бюджетных рисках и долгосрочной устойчивости государственных финансов с учетом международной практики Международным валютным фондом оказана техническая помощь. Экспертами отмечена, что организация проведения анализа, составляющего основу отчета о бюджетных рисках, требует значительных инвестиций, координации и выделенных ресурсов на протяжении предстоящих нескольких лет.</w:t>
      </w:r>
    </w:p>
    <w:bookmarkEnd w:id="516"/>
    <w:bookmarkStart w:name="z518" w:id="517"/>
    <w:p>
      <w:pPr>
        <w:spacing w:after="0"/>
        <w:ind w:left="0"/>
        <w:jc w:val="both"/>
      </w:pPr>
      <w:r>
        <w:rPr>
          <w:rFonts w:ascii="Times New Roman"/>
          <w:b w:val="false"/>
          <w:i w:val="false"/>
          <w:color w:val="000000"/>
          <w:sz w:val="28"/>
        </w:rPr>
        <w:t>
      Таким образом, в 2022 году в реализацию нормы бюджетного законодательства предусмотрена подготовка первого аналитического отчета о бюджетных рисках и долгосрочной устойчивости государственных финансов в Республике Казахстан на ежегодной основе с поэтапным анализом рисков согласно приоритетности и проработкой моделей долгосрочного экономического прогнозирования (10 и более лет) с привлечением потенциала экономических и научных институтов.</w:t>
      </w:r>
    </w:p>
    <w:bookmarkEnd w:id="517"/>
    <w:bookmarkStart w:name="z519" w:id="518"/>
    <w:p>
      <w:pPr>
        <w:spacing w:after="0"/>
        <w:ind w:left="0"/>
        <w:jc w:val="both"/>
      </w:pPr>
      <w:r>
        <w:rPr>
          <w:rFonts w:ascii="Times New Roman"/>
          <w:b w:val="false"/>
          <w:i w:val="false"/>
          <w:color w:val="000000"/>
          <w:sz w:val="28"/>
        </w:rPr>
        <w:t>
      С учетом рекомендаций международных организаций по использованию индикаторов для мониторинга бюджетных и долговых рисков, а также бюджетной практики как аналитический инструментарий будет сформирован перечень бюджетных коэффициентов, которые позволят представить оценку сбалансированности государственных финансов.</w:t>
      </w:r>
    </w:p>
    <w:bookmarkEnd w:id="518"/>
    <w:bookmarkStart w:name="z520" w:id="519"/>
    <w:p>
      <w:pPr>
        <w:spacing w:after="0"/>
        <w:ind w:left="0"/>
        <w:jc w:val="both"/>
      </w:pPr>
      <w:r>
        <w:rPr>
          <w:rFonts w:ascii="Times New Roman"/>
          <w:b w:val="false"/>
          <w:i w:val="false"/>
          <w:color w:val="000000"/>
          <w:sz w:val="28"/>
        </w:rPr>
        <w:t>
      Перечень показателей охватит в целом коэффициенты по макроэкономической устойчивости, устойчивости бюджета и экономического роста, а также сохранению активов Национального фонда и эффективности политики финансовой децентрализации.</w:t>
      </w:r>
    </w:p>
    <w:bookmarkEnd w:id="519"/>
    <w:bookmarkStart w:name="z521" w:id="520"/>
    <w:p>
      <w:pPr>
        <w:spacing w:after="0"/>
        <w:ind w:left="0"/>
        <w:jc w:val="both"/>
      </w:pPr>
      <w:r>
        <w:rPr>
          <w:rFonts w:ascii="Times New Roman"/>
          <w:b w:val="false"/>
          <w:i w:val="false"/>
          <w:color w:val="000000"/>
          <w:sz w:val="28"/>
        </w:rPr>
        <w:t>
      В связи с тем, что с 2022 года при формировании проекта республиканского бюджета на 2023 - 2025 годы планируется раскрытие бюджетных рисков с оценкой устойчивости параметров республиканского бюджета к макроэкономическим шокам в аналитическом отчете о бюджетных рисках и долгосрочной устойчивости государственных финансов, перечень бюджетных коэффициентов будет отражен в составе данного документа.</w:t>
      </w:r>
    </w:p>
    <w:bookmarkEnd w:id="520"/>
    <w:bookmarkStart w:name="z522" w:id="521"/>
    <w:p>
      <w:pPr>
        <w:spacing w:after="0"/>
        <w:ind w:left="0"/>
        <w:jc w:val="both"/>
      </w:pPr>
      <w:r>
        <w:rPr>
          <w:rFonts w:ascii="Times New Roman"/>
          <w:b w:val="false"/>
          <w:i w:val="false"/>
          <w:color w:val="000000"/>
          <w:sz w:val="28"/>
        </w:rPr>
        <w:t>
      Это позволит обеспечить согласованность и целостность проводимой работы по обеспечению фискальной дисциплины и представит возможность Парламенту и общественности оценить степень эффективности проводимой Правительством бюджетной политики.</w:t>
      </w:r>
    </w:p>
    <w:bookmarkEnd w:id="521"/>
    <w:bookmarkStart w:name="z523" w:id="522"/>
    <w:p>
      <w:pPr>
        <w:spacing w:after="0"/>
        <w:ind w:left="0"/>
        <w:jc w:val="left"/>
      </w:pPr>
      <w:r>
        <w:rPr>
          <w:rFonts w:ascii="Times New Roman"/>
          <w:b/>
          <w:i w:val="false"/>
          <w:color w:val="000000"/>
        </w:rPr>
        <w:t xml:space="preserve"> 5.4.2. Укрепление доходной части бюджета (налоговая политика)</w:t>
      </w:r>
    </w:p>
    <w:bookmarkEnd w:id="522"/>
    <w:bookmarkStart w:name="z524" w:id="523"/>
    <w:p>
      <w:pPr>
        <w:spacing w:after="0"/>
        <w:ind w:left="0"/>
        <w:jc w:val="both"/>
      </w:pPr>
      <w:r>
        <w:rPr>
          <w:rFonts w:ascii="Times New Roman"/>
          <w:b w:val="false"/>
          <w:i w:val="false"/>
          <w:color w:val="000000"/>
          <w:sz w:val="28"/>
        </w:rPr>
        <w:t>
      На фоне растущих социальных обязательств бюджета вопрос укрепления доходов государства стал еще более актуальным.</w:t>
      </w:r>
    </w:p>
    <w:bookmarkEnd w:id="523"/>
    <w:bookmarkStart w:name="z525" w:id="524"/>
    <w:p>
      <w:pPr>
        <w:spacing w:after="0"/>
        <w:ind w:left="0"/>
        <w:jc w:val="both"/>
      </w:pPr>
      <w:r>
        <w:rPr>
          <w:rFonts w:ascii="Times New Roman"/>
          <w:b w:val="false"/>
          <w:i w:val="false"/>
          <w:color w:val="000000"/>
          <w:sz w:val="28"/>
        </w:rPr>
        <w:t>
      Поэтому возникает необходимость в увеличении поступлений налогов для сохранения устойчивости бюджета и исполнения всех социально- экономических обязательств государства.</w:t>
      </w:r>
    </w:p>
    <w:bookmarkEnd w:id="524"/>
    <w:bookmarkStart w:name="z526" w:id="525"/>
    <w:p>
      <w:pPr>
        <w:spacing w:after="0"/>
        <w:ind w:left="0"/>
        <w:jc w:val="both"/>
      </w:pPr>
      <w:r>
        <w:rPr>
          <w:rFonts w:ascii="Times New Roman"/>
          <w:b w:val="false"/>
          <w:i w:val="false"/>
          <w:color w:val="000000"/>
          <w:sz w:val="28"/>
        </w:rPr>
        <w:t>
      Сравнительный анализ доходов бюджета с показателями других стран подтверждает, что в Казахстане доля доходов бюджета к ВВП остается низкой.</w:t>
      </w:r>
    </w:p>
    <w:bookmarkEnd w:id="525"/>
    <w:bookmarkStart w:name="z527" w:id="526"/>
    <w:p>
      <w:pPr>
        <w:spacing w:after="0"/>
        <w:ind w:left="0"/>
        <w:jc w:val="both"/>
      </w:pPr>
      <w:r>
        <w:rPr>
          <w:rFonts w:ascii="Times New Roman"/>
          <w:b w:val="false"/>
          <w:i w:val="false"/>
          <w:color w:val="000000"/>
          <w:sz w:val="28"/>
        </w:rPr>
        <w:t>
      В этой связи для увеличения налоговых поступлений будут приняты меры по совершенствованию косвенных налогов (налог на добавленную стоимость, акцизы), корпоративного подоходного налога с учетом международного опыта, в том числе опыта стран ЕАЭС.</w:t>
      </w:r>
    </w:p>
    <w:bookmarkEnd w:id="526"/>
    <w:bookmarkStart w:name="z528" w:id="527"/>
    <w:p>
      <w:pPr>
        <w:spacing w:after="0"/>
        <w:ind w:left="0"/>
        <w:jc w:val="both"/>
      </w:pPr>
      <w:r>
        <w:rPr>
          <w:rFonts w:ascii="Times New Roman"/>
          <w:b w:val="false"/>
          <w:i w:val="false"/>
          <w:color w:val="000000"/>
          <w:sz w:val="28"/>
        </w:rPr>
        <w:t>
      Кроме того, предлагается смещение акцента налогообложения с юридических лиц на физические лица через совершенствование налогообложения имущества и доходов, в том числе путем введения прогрессивного налогообложения.</w:t>
      </w:r>
    </w:p>
    <w:bookmarkEnd w:id="527"/>
    <w:bookmarkStart w:name="z529" w:id="528"/>
    <w:p>
      <w:pPr>
        <w:spacing w:after="0"/>
        <w:ind w:left="0"/>
        <w:jc w:val="both"/>
      </w:pPr>
      <w:r>
        <w:rPr>
          <w:rFonts w:ascii="Times New Roman"/>
          <w:b w:val="false"/>
          <w:i w:val="false"/>
          <w:color w:val="000000"/>
          <w:sz w:val="28"/>
        </w:rPr>
        <w:t>
      Также, будет проведена инвентаризация "парафискальных платежей" с последующим кардинальным пересмотром действующих подходов.</w:t>
      </w:r>
    </w:p>
    <w:bookmarkEnd w:id="528"/>
    <w:bookmarkStart w:name="z530" w:id="529"/>
    <w:p>
      <w:pPr>
        <w:spacing w:after="0"/>
        <w:ind w:left="0"/>
        <w:jc w:val="both"/>
      </w:pPr>
      <w:r>
        <w:rPr>
          <w:rFonts w:ascii="Times New Roman"/>
          <w:b w:val="false"/>
          <w:i w:val="false"/>
          <w:color w:val="000000"/>
          <w:sz w:val="28"/>
        </w:rPr>
        <w:t>
      Будет продолжена ревизия налоговых льгот с учетом обеспечения их эффективности и встречных обязательств налогоплательщиков.</w:t>
      </w:r>
    </w:p>
    <w:bookmarkEnd w:id="529"/>
    <w:bookmarkStart w:name="z531" w:id="530"/>
    <w:p>
      <w:pPr>
        <w:spacing w:after="0"/>
        <w:ind w:left="0"/>
        <w:jc w:val="both"/>
      </w:pPr>
      <w:r>
        <w:rPr>
          <w:rFonts w:ascii="Times New Roman"/>
          <w:b w:val="false"/>
          <w:i w:val="false"/>
          <w:color w:val="000000"/>
          <w:sz w:val="28"/>
        </w:rPr>
        <w:t>
      В целом, взаимоотношения налогоплательщиков и налоговых органов будут выстроены на основе сервисной модели налогового администрирования через элементы цифровизации.</w:t>
      </w:r>
    </w:p>
    <w:bookmarkEnd w:id="530"/>
    <w:bookmarkStart w:name="z532" w:id="531"/>
    <w:p>
      <w:pPr>
        <w:spacing w:after="0"/>
        <w:ind w:left="0"/>
        <w:jc w:val="both"/>
      </w:pPr>
      <w:r>
        <w:rPr>
          <w:rFonts w:ascii="Times New Roman"/>
          <w:b w:val="false"/>
          <w:i w:val="false"/>
          <w:color w:val="000000"/>
          <w:sz w:val="28"/>
        </w:rPr>
        <w:t>
      Детальные подходы по указанным мерам будут отражены в Концепции налоговой политики, разрабатываемой в реализацию поручения Главы государства от 19 мая 2022 года, данного на встрече с представителями отечественного бизнеса.</w:t>
      </w:r>
    </w:p>
    <w:bookmarkEnd w:id="531"/>
    <w:bookmarkStart w:name="z533" w:id="532"/>
    <w:p>
      <w:pPr>
        <w:spacing w:after="0"/>
        <w:ind w:left="0"/>
        <w:jc w:val="left"/>
      </w:pPr>
      <w:r>
        <w:rPr>
          <w:rFonts w:ascii="Times New Roman"/>
          <w:b/>
          <w:i w:val="false"/>
          <w:color w:val="000000"/>
        </w:rPr>
        <w:t xml:space="preserve"> 5.4.3. Повышение эффективности и экономической отдачи бюджетных расходов</w:t>
      </w:r>
    </w:p>
    <w:bookmarkEnd w:id="532"/>
    <w:p>
      <w:pPr>
        <w:spacing w:after="0"/>
        <w:ind w:left="0"/>
        <w:jc w:val="both"/>
      </w:pPr>
      <w:r>
        <w:rPr>
          <w:rFonts w:ascii="Times New Roman"/>
          <w:b w:val="false"/>
          <w:i w:val="false"/>
          <w:color w:val="ff0000"/>
          <w:sz w:val="28"/>
        </w:rPr>
        <w:t xml:space="preserve">
      Сноска. Раздел 5.4.3. с изменением, внесенным Указом Президента РК от 26.11.2022 </w:t>
      </w:r>
      <w:r>
        <w:rPr>
          <w:rFonts w:ascii="Times New Roman"/>
          <w:b w:val="false"/>
          <w:i w:val="false"/>
          <w:color w:val="ff0000"/>
          <w:sz w:val="28"/>
        </w:rPr>
        <w:t>№ 5</w:t>
      </w:r>
      <w:r>
        <w:rPr>
          <w:rFonts w:ascii="Times New Roman"/>
          <w:b w:val="false"/>
          <w:i w:val="false"/>
          <w:color w:val="ff0000"/>
          <w:sz w:val="28"/>
        </w:rPr>
        <w:t>.</w:t>
      </w:r>
    </w:p>
    <w:bookmarkStart w:name="z534" w:id="533"/>
    <w:p>
      <w:pPr>
        <w:spacing w:after="0"/>
        <w:ind w:left="0"/>
        <w:jc w:val="both"/>
      </w:pPr>
      <w:r>
        <w:rPr>
          <w:rFonts w:ascii="Times New Roman"/>
          <w:b w:val="false"/>
          <w:i w:val="false"/>
          <w:color w:val="000000"/>
          <w:sz w:val="28"/>
        </w:rPr>
        <w:t xml:space="preserve">
      </w:t>
      </w:r>
      <w:r>
        <w:rPr>
          <w:rFonts w:ascii="Times New Roman"/>
          <w:b/>
          <w:i w:val="false"/>
          <w:color w:val="000000"/>
          <w:sz w:val="28"/>
        </w:rPr>
        <w:t>Новая система бюджетного планирования, основанная на принципах бережливости и ответственности</w:t>
      </w:r>
    </w:p>
    <w:bookmarkEnd w:id="533"/>
    <w:bookmarkStart w:name="z535" w:id="534"/>
    <w:p>
      <w:pPr>
        <w:spacing w:after="0"/>
        <w:ind w:left="0"/>
        <w:jc w:val="both"/>
      </w:pPr>
      <w:r>
        <w:rPr>
          <w:rFonts w:ascii="Times New Roman"/>
          <w:b w:val="false"/>
          <w:i w:val="false"/>
          <w:color w:val="000000"/>
          <w:sz w:val="28"/>
        </w:rPr>
        <w:t>
      Для повышения стабильности бюджета и гибкости в управлении бюджетными средствами, с учетом принципов бюджетирования, ориентированного на результат, предлагается внедрить отдельные элементы блочного бюджета.</w:t>
      </w:r>
    </w:p>
    <w:bookmarkEnd w:id="534"/>
    <w:bookmarkStart w:name="z536" w:id="535"/>
    <w:p>
      <w:pPr>
        <w:spacing w:after="0"/>
        <w:ind w:left="0"/>
        <w:jc w:val="both"/>
      </w:pPr>
      <w:r>
        <w:rPr>
          <w:rFonts w:ascii="Times New Roman"/>
          <w:b w:val="false"/>
          <w:i w:val="false"/>
          <w:color w:val="000000"/>
          <w:sz w:val="28"/>
        </w:rPr>
        <w:t>
      Повышение самостоятельности администраторов бюджетных программ по управлению бюджетными средствами является одним из элементов блочного бюджета. Блочный механизм планирования бюджета позволяет государственным органам самостоятельно планировать свой бюджет в пределах стабильных среднесрочных лимитов.</w:t>
      </w:r>
    </w:p>
    <w:bookmarkEnd w:id="535"/>
    <w:bookmarkStart w:name="z537" w:id="536"/>
    <w:p>
      <w:pPr>
        <w:spacing w:after="0"/>
        <w:ind w:left="0"/>
        <w:jc w:val="both"/>
      </w:pPr>
      <w:r>
        <w:rPr>
          <w:rFonts w:ascii="Times New Roman"/>
          <w:b w:val="false"/>
          <w:i w:val="false"/>
          <w:color w:val="000000"/>
          <w:sz w:val="28"/>
        </w:rPr>
        <w:t>
      В настоящее время перераспределение средств между бюджетными программами одного администратора бюджетных программ возможно только при уточнении бюджета.</w:t>
      </w:r>
    </w:p>
    <w:bookmarkEnd w:id="536"/>
    <w:bookmarkStart w:name="z538" w:id="537"/>
    <w:p>
      <w:pPr>
        <w:spacing w:after="0"/>
        <w:ind w:left="0"/>
        <w:jc w:val="both"/>
      </w:pPr>
      <w:r>
        <w:rPr>
          <w:rFonts w:ascii="Times New Roman"/>
          <w:b w:val="false"/>
          <w:i w:val="false"/>
          <w:color w:val="000000"/>
          <w:sz w:val="28"/>
        </w:rPr>
        <w:t>
      Предлагается расширить самостоятельность администраторов бюджетных программ в ходе исполнения бюджета путем предоставления права администраторам бюджетных программ самостоятельного перераспределения средств между бюджетными подпрограммами, мероприятиями, проектами и т.д. в рамках одной бюджетной программы.</w:t>
      </w:r>
    </w:p>
    <w:bookmarkEnd w:id="537"/>
    <w:bookmarkStart w:name="z539" w:id="538"/>
    <w:p>
      <w:pPr>
        <w:spacing w:after="0"/>
        <w:ind w:left="0"/>
        <w:jc w:val="both"/>
      </w:pPr>
      <w:r>
        <w:rPr>
          <w:rFonts w:ascii="Times New Roman"/>
          <w:b w:val="false"/>
          <w:i w:val="false"/>
          <w:color w:val="000000"/>
          <w:sz w:val="28"/>
        </w:rPr>
        <w:t>
      При блочном бюджете администраторы бюджетных программ имеют расширенные полномочия по управлению бюджетными средствами и акцент в большей степени ориентирован на долгосрочные цели, в связи с чем непосредственно освоение не является целью исполнения бюджета.</w:t>
      </w:r>
    </w:p>
    <w:bookmarkEnd w:id="538"/>
    <w:bookmarkStart w:name="z540" w:id="539"/>
    <w:p>
      <w:pPr>
        <w:spacing w:after="0"/>
        <w:ind w:left="0"/>
        <w:jc w:val="both"/>
      </w:pPr>
      <w:r>
        <w:rPr>
          <w:rFonts w:ascii="Times New Roman"/>
          <w:b w:val="false"/>
          <w:i w:val="false"/>
          <w:color w:val="000000"/>
          <w:sz w:val="28"/>
        </w:rPr>
        <w:t>
      Такой элемент блочного бюджета подразумевает смещение акцента ответственности за "неосвоение бюджетных средств" на ответственность за "недостижение результатов".</w:t>
      </w:r>
    </w:p>
    <w:bookmarkEnd w:id="539"/>
    <w:bookmarkStart w:name="z541" w:id="540"/>
    <w:p>
      <w:pPr>
        <w:spacing w:after="0"/>
        <w:ind w:left="0"/>
        <w:jc w:val="both"/>
      </w:pPr>
      <w:r>
        <w:rPr>
          <w:rFonts w:ascii="Times New Roman"/>
          <w:b w:val="false"/>
          <w:i w:val="false"/>
          <w:color w:val="000000"/>
          <w:sz w:val="28"/>
        </w:rPr>
        <w:t>
      При этом планируется предоставить право администраторам бюджетных программ по доиспользованию неиспользованных (недоиспользованных) бюджетных средств в следующем году по решению Правительства и МИО.</w:t>
      </w:r>
    </w:p>
    <w:bookmarkEnd w:id="540"/>
    <w:bookmarkStart w:name="z542" w:id="541"/>
    <w:p>
      <w:pPr>
        <w:spacing w:after="0"/>
        <w:ind w:left="0"/>
        <w:jc w:val="both"/>
      </w:pPr>
      <w:r>
        <w:rPr>
          <w:rFonts w:ascii="Times New Roman"/>
          <w:b w:val="false"/>
          <w:i w:val="false"/>
          <w:color w:val="000000"/>
          <w:sz w:val="28"/>
        </w:rPr>
        <w:t>
      Это позволит избежать в конце года поспешных и не всегда эффективных расходов, обеспечит более экономичное и эффективное использование бюджетных ресурсов и позволит управлять общей, а не годовой стоимостью проекта.</w:t>
      </w:r>
    </w:p>
    <w:bookmarkEnd w:id="541"/>
    <w:bookmarkStart w:name="z543" w:id="542"/>
    <w:p>
      <w:pPr>
        <w:spacing w:after="0"/>
        <w:ind w:left="0"/>
        <w:jc w:val="both"/>
      </w:pPr>
      <w:r>
        <w:rPr>
          <w:rFonts w:ascii="Times New Roman"/>
          <w:b w:val="false"/>
          <w:i w:val="false"/>
          <w:color w:val="000000"/>
          <w:sz w:val="28"/>
        </w:rPr>
        <w:t>
      Вместе с тем, повышение самостоятельности администраторов бюджетных программ в управлении бюджетными средствами должно сопровождаться с изменениями по переориентации деятельности органов государственного управления по обеспечению процесса использования бюджетных средств надлежащей системой финансовой дисциплины и контроля.</w:t>
      </w:r>
    </w:p>
    <w:bookmarkEnd w:id="542"/>
    <w:bookmarkStart w:name="z544" w:id="543"/>
    <w:p>
      <w:pPr>
        <w:spacing w:after="0"/>
        <w:ind w:left="0"/>
        <w:jc w:val="both"/>
      </w:pPr>
      <w:r>
        <w:rPr>
          <w:rFonts w:ascii="Times New Roman"/>
          <w:b w:val="false"/>
          <w:i w:val="false"/>
          <w:color w:val="000000"/>
          <w:sz w:val="28"/>
        </w:rPr>
        <w:t>
      Также предлагается ряд мер для повышения эффективности бюджета и дебюрократизации процесса.</w:t>
      </w:r>
    </w:p>
    <w:bookmarkEnd w:id="543"/>
    <w:bookmarkStart w:name="z545" w:id="544"/>
    <w:p>
      <w:pPr>
        <w:spacing w:after="0"/>
        <w:ind w:left="0"/>
        <w:jc w:val="both"/>
      </w:pPr>
      <w:r>
        <w:rPr>
          <w:rFonts w:ascii="Times New Roman"/>
          <w:b w:val="false"/>
          <w:i w:val="false"/>
          <w:color w:val="000000"/>
          <w:sz w:val="28"/>
        </w:rPr>
        <w:t>
      Видится целесообразным формировать ПСЭР один раз в июне (сейчас формируется в 2 этапа - в апреле и в августе). Это позволит учесть статистические данные за прошлый год и не проводить пересмотр параметров бюджета.</w:t>
      </w:r>
    </w:p>
    <w:bookmarkEnd w:id="544"/>
    <w:bookmarkStart w:name="z546" w:id="545"/>
    <w:p>
      <w:pPr>
        <w:spacing w:after="0"/>
        <w:ind w:left="0"/>
        <w:jc w:val="both"/>
      </w:pPr>
      <w:r>
        <w:rPr>
          <w:rFonts w:ascii="Times New Roman"/>
          <w:b w:val="false"/>
          <w:i w:val="false"/>
          <w:color w:val="000000"/>
          <w:sz w:val="28"/>
        </w:rPr>
        <w:t>
      В целях достижения национальных приоритетов и подчинения системе государственного планирования расходы бюджета необходимо определять исходя из приоритетности целей и целевых индикаторов планов развития государственного органа.</w:t>
      </w:r>
    </w:p>
    <w:bookmarkEnd w:id="545"/>
    <w:bookmarkStart w:name="z547" w:id="546"/>
    <w:p>
      <w:pPr>
        <w:spacing w:after="0"/>
        <w:ind w:left="0"/>
        <w:jc w:val="both"/>
      </w:pPr>
      <w:r>
        <w:rPr>
          <w:rFonts w:ascii="Times New Roman"/>
          <w:b w:val="false"/>
          <w:i w:val="false"/>
          <w:color w:val="000000"/>
          <w:sz w:val="28"/>
        </w:rPr>
        <w:t>
      При планировании бюджета должны учитываться результаты оценки за прошлый год. Для этого требуется скорреспондировать сроки проведения оценки (июль, август) и процедур формирования бюджета (март).</w:t>
      </w:r>
    </w:p>
    <w:bookmarkEnd w:id="546"/>
    <w:bookmarkStart w:name="z548" w:id="547"/>
    <w:p>
      <w:pPr>
        <w:spacing w:after="0"/>
        <w:ind w:left="0"/>
        <w:jc w:val="both"/>
      </w:pPr>
      <w:r>
        <w:rPr>
          <w:rFonts w:ascii="Times New Roman"/>
          <w:b w:val="false"/>
          <w:i w:val="false"/>
          <w:color w:val="000000"/>
          <w:sz w:val="28"/>
        </w:rPr>
        <w:t xml:space="preserve">
      Уполномоченные органы по государственному аудиту и финансовому контролю проводят оценку эффективности деятельности центральных </w:t>
      </w:r>
      <w:r>
        <w:rPr>
          <w:rFonts w:ascii="Times New Roman"/>
          <w:b w:val="false"/>
          <w:i/>
          <w:color w:val="000000"/>
          <w:sz w:val="28"/>
        </w:rPr>
        <w:t xml:space="preserve">и </w:t>
      </w:r>
      <w:r>
        <w:rPr>
          <w:rFonts w:ascii="Times New Roman"/>
          <w:b w:val="false"/>
          <w:i w:val="false"/>
          <w:color w:val="000000"/>
          <w:sz w:val="28"/>
        </w:rPr>
        <w:t>местных государственных органов. Центральный и местные уполномоченные органы по государственному планированию проводят оценку реализации бюджетных инвестиций, концессионных проектов, проектов ГЧП. По итогам оценок в июле, августе формируются рекомендации.</w:t>
      </w:r>
    </w:p>
    <w:bookmarkEnd w:id="547"/>
    <w:bookmarkStart w:name="z549" w:id="548"/>
    <w:p>
      <w:pPr>
        <w:spacing w:after="0"/>
        <w:ind w:left="0"/>
        <w:jc w:val="both"/>
      </w:pPr>
      <w:r>
        <w:rPr>
          <w:rFonts w:ascii="Times New Roman"/>
          <w:b w:val="false"/>
          <w:i w:val="false"/>
          <w:color w:val="000000"/>
          <w:sz w:val="28"/>
        </w:rPr>
        <w:t>
      Данные рекомендации должны использоваться государственными органами - при составлении планов развития государственного органа, уполномоченными органами по бюджетному планированию и государственному планированию - при формировании лимитов и рассмотрении проектов планов развития и проектов бюджетных программ.</w:t>
      </w:r>
    </w:p>
    <w:bookmarkEnd w:id="548"/>
    <w:bookmarkStart w:name="z550" w:id="549"/>
    <w:p>
      <w:pPr>
        <w:spacing w:after="0"/>
        <w:ind w:left="0"/>
        <w:jc w:val="both"/>
      </w:pPr>
      <w:r>
        <w:rPr>
          <w:rFonts w:ascii="Times New Roman"/>
          <w:b w:val="false"/>
          <w:i w:val="false"/>
          <w:color w:val="000000"/>
          <w:sz w:val="28"/>
        </w:rPr>
        <w:t>
      На стадии разработки проводится предварительная оценка проекта республиканского бюджета. Необходимо распространить данный механизм на местные бюджеты и на процедуру уточнения бюджетов.</w:t>
      </w:r>
    </w:p>
    <w:bookmarkEnd w:id="549"/>
    <w:bookmarkStart w:name="z551" w:id="550"/>
    <w:p>
      <w:pPr>
        <w:spacing w:after="0"/>
        <w:ind w:left="0"/>
        <w:jc w:val="both"/>
      </w:pPr>
      <w:r>
        <w:rPr>
          <w:rFonts w:ascii="Times New Roman"/>
          <w:b w:val="false"/>
          <w:i w:val="false"/>
          <w:color w:val="000000"/>
          <w:sz w:val="28"/>
        </w:rPr>
        <w:t>
      В части исполнения бюджета одной из мер повышения бюджетной дисциплины и упрощения бюджетного процесса является проведение уточнения бюджета по итогам первого полугодия.</w:t>
      </w:r>
    </w:p>
    <w:bookmarkEnd w:id="550"/>
    <w:bookmarkStart w:name="z552" w:id="551"/>
    <w:p>
      <w:pPr>
        <w:spacing w:after="0"/>
        <w:ind w:left="0"/>
        <w:jc w:val="both"/>
      </w:pPr>
      <w:r>
        <w:rPr>
          <w:rFonts w:ascii="Times New Roman"/>
          <w:b w:val="false"/>
          <w:i w:val="false"/>
          <w:color w:val="000000"/>
          <w:sz w:val="28"/>
        </w:rPr>
        <w:t>
      Вместе с тем, в целях обеспечения принципов бережливости и ответственности при планировании бюджета предлагается использовать механизм оценки экономического эффекта расходов на бюджетные инвестиции и субсидии не только на стадии их планирования, но и по итогам реализации.</w:t>
      </w:r>
    </w:p>
    <w:bookmarkEnd w:id="551"/>
    <w:bookmarkStart w:name="z553" w:id="552"/>
    <w:p>
      <w:pPr>
        <w:spacing w:after="0"/>
        <w:ind w:left="0"/>
        <w:jc w:val="both"/>
      </w:pPr>
      <w:r>
        <w:rPr>
          <w:rFonts w:ascii="Times New Roman"/>
          <w:b w:val="false"/>
          <w:i w:val="false"/>
          <w:color w:val="000000"/>
          <w:sz w:val="28"/>
        </w:rPr>
        <w:t>
      Для этого требуется разработка методологической основы как на уровне центрального уполномоченного органа, так и на уровне государственных органов - администраторов бюджетных программ.</w:t>
      </w:r>
    </w:p>
    <w:bookmarkEnd w:id="552"/>
    <w:bookmarkStart w:name="z554" w:id="553"/>
    <w:p>
      <w:pPr>
        <w:spacing w:after="0"/>
        <w:ind w:left="0"/>
        <w:jc w:val="both"/>
      </w:pPr>
      <w:r>
        <w:rPr>
          <w:rFonts w:ascii="Times New Roman"/>
          <w:b w:val="false"/>
          <w:i w:val="false"/>
          <w:color w:val="000000"/>
          <w:sz w:val="28"/>
        </w:rPr>
        <w:t>
      Вместе с тем, в целях повышения эффективности планирования и использования бюджетных средств планируется повышение ответственности администраторов бюджетных программ.</w:t>
      </w:r>
    </w:p>
    <w:bookmarkEnd w:id="553"/>
    <w:bookmarkStart w:name="z555" w:id="554"/>
    <w:p>
      <w:pPr>
        <w:spacing w:after="0"/>
        <w:ind w:left="0"/>
        <w:jc w:val="both"/>
      </w:pPr>
      <w:r>
        <w:rPr>
          <w:rFonts w:ascii="Times New Roman"/>
          <w:b w:val="false"/>
          <w:i w:val="false"/>
          <w:color w:val="000000"/>
          <w:sz w:val="28"/>
        </w:rPr>
        <w:t>
      Успешность применения бюджета, ориентированного на результаты, а также результативность и эффективность бюджетных средств напрямую зависят от профессионального уровня квалификации кадров, занятых в сфере стратегического и бюджетного планирования, т.к. указанные сотрудники в течение года изучают эффективность реализации бюджетных программ и по результатам анализа определяют необходимость дальнейшей реализации программы и/или ее различных мероприятий, а также вырабатывают пути решения с описанием альтернатив финансирования и рекомендаций.</w:t>
      </w:r>
    </w:p>
    <w:bookmarkEnd w:id="554"/>
    <w:bookmarkStart w:name="z556" w:id="555"/>
    <w:p>
      <w:pPr>
        <w:spacing w:after="0"/>
        <w:ind w:left="0"/>
        <w:jc w:val="both"/>
      </w:pPr>
      <w:r>
        <w:rPr>
          <w:rFonts w:ascii="Times New Roman"/>
          <w:b w:val="false"/>
          <w:i w:val="false"/>
          <w:color w:val="000000"/>
          <w:sz w:val="28"/>
        </w:rPr>
        <w:t>
      В целях повышения эффективности и результативности экономического управления, а также повышения качества планирования необходимо усиление роли и компетенции специалистов, задействованных в бюджетном планировании, с разработкой комплексного плана мер по развитию человеческих ресурсов в сфере стратегического и бюджетного планирования.</w:t>
      </w:r>
    </w:p>
    <w:bookmarkEnd w:id="555"/>
    <w:bookmarkStart w:name="z557" w:id="556"/>
    <w:p>
      <w:pPr>
        <w:spacing w:after="0"/>
        <w:ind w:left="0"/>
        <w:jc w:val="both"/>
      </w:pPr>
      <w:r>
        <w:rPr>
          <w:rFonts w:ascii="Times New Roman"/>
          <w:b w:val="false"/>
          <w:i w:val="false"/>
          <w:color w:val="000000"/>
          <w:sz w:val="28"/>
        </w:rPr>
        <w:t>
      Функциональные обязанности сотрудников государственных органов в сфере стратегического и бюджетного планирования должны кардинально переформатироваться с акцентом на усиление аналитической составляющей их работы.</w:t>
      </w:r>
    </w:p>
    <w:bookmarkEnd w:id="556"/>
    <w:bookmarkStart w:name="z558" w:id="557"/>
    <w:p>
      <w:pPr>
        <w:spacing w:after="0"/>
        <w:ind w:left="0"/>
        <w:jc w:val="both"/>
      </w:pPr>
      <w:r>
        <w:rPr>
          <w:rFonts w:ascii="Times New Roman"/>
          <w:b w:val="false"/>
          <w:i w:val="false"/>
          <w:color w:val="000000"/>
          <w:sz w:val="28"/>
        </w:rPr>
        <w:t>
      В течение года бюджетные аналитики должны изучать эффективность реализации бюджетных программ с посещением объектов, и по результатам анализа определять необходимость дальнейшей реализации программы и/или ее различных мероприятий, а также вырабатывать пути решения с описанием альтернатив финансирования и рекомендаций.</w:t>
      </w:r>
    </w:p>
    <w:bookmarkEnd w:id="557"/>
    <w:bookmarkStart w:name="z559" w:id="558"/>
    <w:p>
      <w:pPr>
        <w:spacing w:after="0"/>
        <w:ind w:left="0"/>
        <w:jc w:val="both"/>
      </w:pPr>
      <w:r>
        <w:rPr>
          <w:rFonts w:ascii="Times New Roman"/>
          <w:b w:val="false"/>
          <w:i w:val="false"/>
          <w:color w:val="000000"/>
          <w:sz w:val="28"/>
        </w:rPr>
        <w:t>
      Организацию обучения бюджетных аналитиков основным аспектам стратегического и бюджетного планирования, в том числе по разработке нефинансовых показателей, необходимо проводить на постоянной основе.</w:t>
      </w:r>
    </w:p>
    <w:bookmarkEnd w:id="558"/>
    <w:bookmarkStart w:name="z560" w:id="559"/>
    <w:p>
      <w:pPr>
        <w:spacing w:after="0"/>
        <w:ind w:left="0"/>
        <w:jc w:val="both"/>
      </w:pPr>
      <w:r>
        <w:rPr>
          <w:rFonts w:ascii="Times New Roman"/>
          <w:b w:val="false"/>
          <w:i w:val="false"/>
          <w:color w:val="000000"/>
          <w:sz w:val="28"/>
        </w:rPr>
        <w:t>
      В качестве одного из инструментов, направленных на повышение эффективности бюджетных расходов и обеспечивающих их приоритизацию в соответствии с целями социально-экономической политики, необходимо внедрение в систему управления государственными финансами обзоров бюджетных расходов.</w:t>
      </w:r>
    </w:p>
    <w:bookmarkEnd w:id="559"/>
    <w:bookmarkStart w:name="z561" w:id="560"/>
    <w:p>
      <w:pPr>
        <w:spacing w:after="0"/>
        <w:ind w:left="0"/>
        <w:jc w:val="both"/>
      </w:pPr>
      <w:r>
        <w:rPr>
          <w:rFonts w:ascii="Times New Roman"/>
          <w:b w:val="false"/>
          <w:i w:val="false"/>
          <w:color w:val="000000"/>
          <w:sz w:val="28"/>
        </w:rPr>
        <w:t>
      Внедрение в практику проведения государственными органами регулярных обзоров бюджетных расходов позволит выявить низкоэффективные расходы для определения потенциала экономии и перераспределения бюджетных средств между приоритетами государственной политики.</w:t>
      </w:r>
    </w:p>
    <w:bookmarkEnd w:id="560"/>
    <w:bookmarkStart w:name="z562" w:id="561"/>
    <w:p>
      <w:pPr>
        <w:spacing w:after="0"/>
        <w:ind w:left="0"/>
        <w:jc w:val="both"/>
      </w:pPr>
      <w:r>
        <w:rPr>
          <w:rFonts w:ascii="Times New Roman"/>
          <w:b w:val="false"/>
          <w:i w:val="false"/>
          <w:color w:val="000000"/>
          <w:sz w:val="28"/>
        </w:rPr>
        <w:t>
      Проведение обзоров бюджетных расходов будет осуществляться с охватом всех бюджетных расходов каждые пять лет с применением горизонтальных обзоров, обязательностью опубликования (за исключением сведений ограниченного распространения) результатов обзоров бюджетных расходов в виде отчета для широкого круга.</w:t>
      </w:r>
    </w:p>
    <w:bookmarkEnd w:id="561"/>
    <w:bookmarkStart w:name="z563" w:id="562"/>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системы оценки деятельности государственных органов с синхронизацией сроков оценки с бюджетным планированием</w:t>
      </w:r>
    </w:p>
    <w:bookmarkEnd w:id="562"/>
    <w:bookmarkStart w:name="z832" w:id="563"/>
    <w:p>
      <w:pPr>
        <w:spacing w:after="0"/>
        <w:ind w:left="0"/>
        <w:jc w:val="both"/>
      </w:pPr>
      <w:r>
        <w:rPr>
          <w:rFonts w:ascii="Times New Roman"/>
          <w:b w:val="false"/>
          <w:i w:val="false"/>
          <w:color w:val="000000"/>
          <w:sz w:val="28"/>
        </w:rPr>
        <w:t>
      В целях повышения эффективности деятельности государственных органов, качества бюджетного планирования, улучшения результативности и эффективности бюджетных средств необходимо улучшить применимость результатов оценки при принятии решений в бюджетном планировании с внедрением принципа планирования расходов бюджета от достигнутого результата.</w:t>
      </w:r>
    </w:p>
    <w:bookmarkEnd w:id="563"/>
    <w:bookmarkStart w:name="z833" w:id="564"/>
    <w:p>
      <w:pPr>
        <w:spacing w:after="0"/>
        <w:ind w:left="0"/>
        <w:jc w:val="both"/>
      </w:pPr>
      <w:r>
        <w:rPr>
          <w:rFonts w:ascii="Times New Roman"/>
          <w:b w:val="false"/>
          <w:i w:val="false"/>
          <w:color w:val="000000"/>
          <w:sz w:val="28"/>
        </w:rPr>
        <w:t>
      Результаты оценки бюджетных инвестиций, достижения стратегических целей и реализации бюджетных программ за прошлый год должны учитываться при разработке бюджета на плановый период.</w:t>
      </w:r>
    </w:p>
    <w:bookmarkEnd w:id="564"/>
    <w:bookmarkStart w:name="z834" w:id="565"/>
    <w:p>
      <w:pPr>
        <w:spacing w:after="0"/>
        <w:ind w:left="0"/>
        <w:jc w:val="both"/>
      </w:pPr>
      <w:r>
        <w:rPr>
          <w:rFonts w:ascii="Times New Roman"/>
          <w:b w:val="false"/>
          <w:i w:val="false"/>
          <w:color w:val="000000"/>
          <w:sz w:val="28"/>
        </w:rPr>
        <w:t>
      Для реализации этой задачи необходимо синхронизировать сроки формирования заключений по итогам оценки с процессами формирования бюджета и принятия решений по распределению ресурсов.</w:t>
      </w:r>
    </w:p>
    <w:bookmarkEnd w:id="565"/>
    <w:bookmarkStart w:name="z835" w:id="566"/>
    <w:p>
      <w:pPr>
        <w:spacing w:after="0"/>
        <w:ind w:left="0"/>
        <w:jc w:val="both"/>
      </w:pPr>
      <w:r>
        <w:rPr>
          <w:rFonts w:ascii="Times New Roman"/>
          <w:b w:val="false"/>
          <w:i w:val="false"/>
          <w:color w:val="000000"/>
          <w:sz w:val="28"/>
        </w:rPr>
        <w:t>
      Вместе с тем результаты оценки эффективности деятельности государственных органов, управления государственным имуществом, реализации бюджетных инвестиций должны быть доступными для гражданского общества и представительным органам.</w:t>
      </w:r>
    </w:p>
    <w:bookmarkEnd w:id="566"/>
    <w:bookmarkStart w:name="z836" w:id="567"/>
    <w:p>
      <w:pPr>
        <w:spacing w:after="0"/>
        <w:ind w:left="0"/>
        <w:jc w:val="both"/>
      </w:pPr>
      <w:r>
        <w:rPr>
          <w:rFonts w:ascii="Times New Roman"/>
          <w:b w:val="false"/>
          <w:i w:val="false"/>
          <w:color w:val="000000"/>
          <w:sz w:val="28"/>
        </w:rPr>
        <w:t>
      Результаты оценок, проводимых Высшей аудиторской палатой Республики Казахстан и ревизионными комиссиями областей, городов республиканского значения, столицы должны включаться в состав заключений к отчету об исполнении республиканского и местных бюджетов, представляемых в Парламент и маслихаты, а также размещены на интернет-ресурсах государственных органов.</w:t>
      </w:r>
    </w:p>
    <w:bookmarkEnd w:id="567"/>
    <w:bookmarkStart w:name="z837" w:id="568"/>
    <w:p>
      <w:pPr>
        <w:spacing w:after="0"/>
        <w:ind w:left="0"/>
        <w:jc w:val="both"/>
      </w:pPr>
      <w:r>
        <w:rPr>
          <w:rFonts w:ascii="Times New Roman"/>
          <w:b w:val="false"/>
          <w:i w:val="false"/>
          <w:color w:val="000000"/>
          <w:sz w:val="28"/>
        </w:rPr>
        <w:t>
      Вместе с тем результаты оценки реализации бюджетных инвестиций и проектов ГЧП, направленных на реализацию инфраструктурных проектов (строительство, реконструкция, модернизация), достижения целей планов развития во взаимосвязи с реализацией бюджетных программ и бюджетными средствами необходимо при формировании бюджета на 2025 год включать в состав годового аналитического отчета по расходам бюджета, представляемого в Парламент и маслихаты, с обязательным его размещением на интернет – ресурсах государственных органов.</w:t>
      </w:r>
    </w:p>
    <w:bookmarkEnd w:id="568"/>
    <w:bookmarkStart w:name="z838" w:id="569"/>
    <w:p>
      <w:pPr>
        <w:spacing w:after="0"/>
        <w:ind w:left="0"/>
        <w:jc w:val="both"/>
      </w:pPr>
      <w:r>
        <w:rPr>
          <w:rFonts w:ascii="Times New Roman"/>
          <w:b w:val="false"/>
          <w:i w:val="false"/>
          <w:color w:val="000000"/>
          <w:sz w:val="28"/>
        </w:rPr>
        <w:t>
      Результаты оценки эффективности управления государственным имуществом должны активно обсуждаться на заседаниях общественных советов, в Парламенте и маслихатах при обсуждении вопросов о выделении из бюджета средств субъектам квазигосударственного сектора и включаться в состав информации о республиканском и местном бюджетах.</w:t>
      </w:r>
    </w:p>
    <w:bookmarkEnd w:id="569"/>
    <w:bookmarkStart w:name="z839" w:id="570"/>
    <w:p>
      <w:pPr>
        <w:spacing w:after="0"/>
        <w:ind w:left="0"/>
        <w:jc w:val="both"/>
      </w:pPr>
      <w:r>
        <w:rPr>
          <w:rFonts w:ascii="Times New Roman"/>
          <w:b w:val="false"/>
          <w:i w:val="false"/>
          <w:color w:val="000000"/>
          <w:sz w:val="28"/>
        </w:rPr>
        <w:t>
      Оценка результатов должна содержать не только выводы, но и рекомендации по повышению результативности и эффективности бюджетных средств и активов государства, а также способствовать более эффективному распределению ресурсов государства.</w:t>
      </w:r>
    </w:p>
    <w:bookmarkEnd w:id="570"/>
    <w:bookmarkStart w:name="z564" w:id="571"/>
    <w:p>
      <w:pPr>
        <w:spacing w:after="0"/>
        <w:ind w:left="0"/>
        <w:jc w:val="both"/>
      </w:pPr>
      <w:r>
        <w:rPr>
          <w:rFonts w:ascii="Times New Roman"/>
          <w:b w:val="false"/>
          <w:i w:val="false"/>
          <w:color w:val="000000"/>
          <w:sz w:val="28"/>
        </w:rPr>
        <w:t xml:space="preserve">
      </w:t>
      </w:r>
      <w:r>
        <w:rPr>
          <w:rFonts w:ascii="Times New Roman"/>
          <w:b/>
          <w:i w:val="false"/>
          <w:color w:val="000000"/>
          <w:sz w:val="28"/>
        </w:rPr>
        <w:t>Межбюджетные отношения</w:t>
      </w:r>
    </w:p>
    <w:bookmarkEnd w:id="571"/>
    <w:bookmarkStart w:name="z573" w:id="572"/>
    <w:p>
      <w:pPr>
        <w:spacing w:after="0"/>
        <w:ind w:left="0"/>
        <w:jc w:val="both"/>
      </w:pPr>
      <w:r>
        <w:rPr>
          <w:rFonts w:ascii="Times New Roman"/>
          <w:b w:val="false"/>
          <w:i w:val="false"/>
          <w:color w:val="000000"/>
          <w:sz w:val="28"/>
        </w:rPr>
        <w:t>
      Политика межбюджетных отношений в целом должна соответствовать курсу дальнейшей фискальной децентрализации.</w:t>
      </w:r>
    </w:p>
    <w:bookmarkEnd w:id="572"/>
    <w:bookmarkStart w:name="z574" w:id="573"/>
    <w:p>
      <w:pPr>
        <w:spacing w:after="0"/>
        <w:ind w:left="0"/>
        <w:jc w:val="both"/>
      </w:pPr>
      <w:r>
        <w:rPr>
          <w:rFonts w:ascii="Times New Roman"/>
          <w:b w:val="false"/>
          <w:i w:val="false"/>
          <w:color w:val="000000"/>
          <w:sz w:val="28"/>
        </w:rPr>
        <w:t>
      В свете последних поручений Главы государства в рамках реформирования межбюджетных отношений необходимо совершенствовать систему межбюджетных отношений с акцентом на повышение дальнейшей финансовой самостоятельности МИО.</w:t>
      </w:r>
    </w:p>
    <w:bookmarkEnd w:id="573"/>
    <w:bookmarkStart w:name="z575" w:id="574"/>
    <w:p>
      <w:pPr>
        <w:spacing w:after="0"/>
        <w:ind w:left="0"/>
        <w:jc w:val="both"/>
      </w:pPr>
      <w:r>
        <w:rPr>
          <w:rFonts w:ascii="Times New Roman"/>
          <w:b w:val="false"/>
          <w:i w:val="false"/>
          <w:color w:val="000000"/>
          <w:sz w:val="28"/>
        </w:rPr>
        <w:t>
      В целях сокращения зависимости МИО от средств республиканского бюджета будут проработаны подходы передачи отдельных видов налоговых поступлений на местный уровень, минимизации встречных трансфертов между республиканским и местными бюджетами, снижение межрегиональных диспропорций с учетом потребностей населения.</w:t>
      </w:r>
    </w:p>
    <w:bookmarkEnd w:id="574"/>
    <w:bookmarkStart w:name="z576" w:id="575"/>
    <w:p>
      <w:pPr>
        <w:spacing w:after="0"/>
        <w:ind w:left="0"/>
        <w:jc w:val="both"/>
      </w:pPr>
      <w:r>
        <w:rPr>
          <w:rFonts w:ascii="Times New Roman"/>
          <w:b w:val="false"/>
          <w:i w:val="false"/>
          <w:color w:val="000000"/>
          <w:sz w:val="28"/>
        </w:rPr>
        <w:t>
      В результате появится дополнительный стимул для МИО к развитию региональной экономики и увеличению доходов местных бюджетов с постепенным снижением зависимости регионов от республиканского бюджета.</w:t>
      </w:r>
    </w:p>
    <w:bookmarkEnd w:id="575"/>
    <w:bookmarkStart w:name="z577" w:id="576"/>
    <w:p>
      <w:pPr>
        <w:spacing w:after="0"/>
        <w:ind w:left="0"/>
        <w:jc w:val="both"/>
      </w:pPr>
      <w:r>
        <w:rPr>
          <w:rFonts w:ascii="Times New Roman"/>
          <w:b w:val="false"/>
          <w:i w:val="false"/>
          <w:color w:val="000000"/>
          <w:sz w:val="28"/>
        </w:rPr>
        <w:t>
      В 2022 году в целях дальнейшего совершенствования системы межбюджетных отношений будет далее совершенствоваться методика расчетов трансфертов общего характера, на основании которой будет разработан Закон на следующий среднесрочный период.</w:t>
      </w:r>
    </w:p>
    <w:bookmarkEnd w:id="576"/>
    <w:bookmarkStart w:name="z578" w:id="577"/>
    <w:p>
      <w:pPr>
        <w:spacing w:after="0"/>
        <w:ind w:left="0"/>
        <w:jc w:val="both"/>
      </w:pPr>
      <w:r>
        <w:rPr>
          <w:rFonts w:ascii="Times New Roman"/>
          <w:b w:val="false"/>
          <w:i w:val="false"/>
          <w:color w:val="000000"/>
          <w:sz w:val="28"/>
        </w:rPr>
        <w:t>
      Кроме того, прорабатывается вопрос по закреплению за ревизионными комиссиями полномочий по проведению предварительной оценки проектов местных бюджетов с учетом трансфертов общего характера.</w:t>
      </w:r>
    </w:p>
    <w:bookmarkEnd w:id="577"/>
    <w:bookmarkStart w:name="z579" w:id="578"/>
    <w:p>
      <w:pPr>
        <w:spacing w:after="0"/>
        <w:ind w:left="0"/>
        <w:jc w:val="both"/>
      </w:pPr>
      <w:r>
        <w:rPr>
          <w:rFonts w:ascii="Times New Roman"/>
          <w:b w:val="false"/>
          <w:i w:val="false"/>
          <w:color w:val="000000"/>
          <w:sz w:val="28"/>
        </w:rPr>
        <w:t>
      Также планируется в бюджетном законодательстве предусмотреть ответственность центральных и МИО за обоснованность, достоверность представляемой информации к расчетам трансфертов общего характера.</w:t>
      </w:r>
    </w:p>
    <w:bookmarkEnd w:id="578"/>
    <w:bookmarkStart w:name="z580" w:id="579"/>
    <w:p>
      <w:pPr>
        <w:spacing w:after="0"/>
        <w:ind w:left="0"/>
        <w:jc w:val="both"/>
      </w:pPr>
      <w:r>
        <w:rPr>
          <w:rFonts w:ascii="Times New Roman"/>
          <w:b w:val="false"/>
          <w:i w:val="false"/>
          <w:color w:val="000000"/>
          <w:sz w:val="28"/>
        </w:rPr>
        <w:t>
      Реализация предложенных новых подходов к формированию межбюджетных отношений позволит улучшить ее с точки зрения достижения целей выравнивания бюджетной обеспеченности местных бюджетов.</w:t>
      </w:r>
    </w:p>
    <w:bookmarkEnd w:id="579"/>
    <w:bookmarkStart w:name="z581" w:id="580"/>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подотчетности и подконтрольности бюджетных расходов</w:t>
      </w:r>
    </w:p>
    <w:bookmarkEnd w:id="580"/>
    <w:bookmarkStart w:name="z582" w:id="581"/>
    <w:p>
      <w:pPr>
        <w:spacing w:after="0"/>
        <w:ind w:left="0"/>
        <w:jc w:val="both"/>
      </w:pPr>
      <w:r>
        <w:rPr>
          <w:rFonts w:ascii="Times New Roman"/>
          <w:b w:val="false"/>
          <w:i w:val="false"/>
          <w:color w:val="000000"/>
          <w:sz w:val="28"/>
        </w:rPr>
        <w:t>
      Необходимым условием повышения эффективности бюджетных расходов является обеспечение подотчетности и подконтрольности бюджетных расходов.</w:t>
      </w:r>
    </w:p>
    <w:bookmarkEnd w:id="581"/>
    <w:bookmarkStart w:name="z583" w:id="582"/>
    <w:p>
      <w:pPr>
        <w:spacing w:after="0"/>
        <w:ind w:left="0"/>
        <w:jc w:val="both"/>
      </w:pPr>
      <w:r>
        <w:rPr>
          <w:rFonts w:ascii="Times New Roman"/>
          <w:b w:val="false"/>
          <w:i w:val="false"/>
          <w:color w:val="000000"/>
          <w:sz w:val="28"/>
        </w:rPr>
        <w:t>
      Поэтому необходимы дальнейшая гармонизация классификации операций сектора государственного управления с требованиями международных стандартов по статистике государственных финансов и системы национальных счетов, а также установление единых требований к применению такого вида классификации для ведения бюджетного (бухгалтерского) учета, составления бюджетной (бухгалтерской) и иной финансовой отчетности.</w:t>
      </w:r>
    </w:p>
    <w:bookmarkEnd w:id="582"/>
    <w:bookmarkStart w:name="z584" w:id="583"/>
    <w:p>
      <w:pPr>
        <w:spacing w:after="0"/>
        <w:ind w:left="0"/>
        <w:jc w:val="both"/>
      </w:pPr>
      <w:r>
        <w:rPr>
          <w:rFonts w:ascii="Times New Roman"/>
          <w:b w:val="false"/>
          <w:i w:val="false"/>
          <w:color w:val="000000"/>
          <w:sz w:val="28"/>
        </w:rPr>
        <w:t>
      Необходимо постепенно расширять охват сектора государственного управления, в том числе с формированием информационной базы и отбором юридических лиц, подлежащих включению в сектор государственного управления в соответствии с установленными критериями.</w:t>
      </w:r>
    </w:p>
    <w:bookmarkEnd w:id="583"/>
    <w:bookmarkStart w:name="z585" w:id="584"/>
    <w:p>
      <w:pPr>
        <w:spacing w:after="0"/>
        <w:ind w:left="0"/>
        <w:jc w:val="both"/>
      </w:pPr>
      <w:r>
        <w:rPr>
          <w:rFonts w:ascii="Times New Roman"/>
          <w:b w:val="false"/>
          <w:i w:val="false"/>
          <w:color w:val="000000"/>
          <w:sz w:val="28"/>
        </w:rPr>
        <w:t>
      При этом важно обеспечить полный охват сектора государственного управления. Статистика, формируемая в отношении каждого уровня государственного управления, должна включать все единицы, которые составляют этот сектор.</w:t>
      </w:r>
    </w:p>
    <w:bookmarkEnd w:id="584"/>
    <w:bookmarkStart w:name="z586" w:id="585"/>
    <w:p>
      <w:pPr>
        <w:spacing w:after="0"/>
        <w:ind w:left="0"/>
        <w:jc w:val="both"/>
      </w:pPr>
      <w:r>
        <w:rPr>
          <w:rFonts w:ascii="Times New Roman"/>
          <w:b w:val="false"/>
          <w:i w:val="false"/>
          <w:color w:val="000000"/>
          <w:sz w:val="28"/>
        </w:rPr>
        <w:t>
      Как показывает передовой зарубежный опыт, необходимым является поэтапный переход к составлению консолидированной финансовой отчетности государства, включающей государственный и квазигосударственный сектора на республиканском и местном уровне, а также Национальный фонд и внебюджетные фонды.</w:t>
      </w:r>
    </w:p>
    <w:bookmarkEnd w:id="585"/>
    <w:bookmarkStart w:name="z587" w:id="586"/>
    <w:p>
      <w:pPr>
        <w:spacing w:after="0"/>
        <w:ind w:left="0"/>
        <w:jc w:val="both"/>
      </w:pPr>
      <w:r>
        <w:rPr>
          <w:rFonts w:ascii="Times New Roman"/>
          <w:b w:val="false"/>
          <w:i w:val="false"/>
          <w:color w:val="000000"/>
          <w:sz w:val="28"/>
        </w:rPr>
        <w:t>
      Именно такая финансовая отчетность обеспечит целостную картину финансового положения страны.</w:t>
      </w:r>
    </w:p>
    <w:bookmarkEnd w:id="586"/>
    <w:bookmarkStart w:name="z588" w:id="587"/>
    <w:p>
      <w:pPr>
        <w:spacing w:after="0"/>
        <w:ind w:left="0"/>
        <w:jc w:val="both"/>
      </w:pPr>
      <w:r>
        <w:rPr>
          <w:rFonts w:ascii="Times New Roman"/>
          <w:b w:val="false"/>
          <w:i w:val="false"/>
          <w:color w:val="000000"/>
          <w:sz w:val="28"/>
        </w:rPr>
        <w:t>
      Расширение периметра консолидации и объектов консолидируемых показателей бухгалтерской отчетности, а также формирование отчетности по сегментам позволят повысить полноту и достоверность консолидированной бухгалтерской отчетности, качество финансового анализа, мониторинга и управления государственными финансами.</w:t>
      </w:r>
    </w:p>
    <w:bookmarkEnd w:id="587"/>
    <w:bookmarkStart w:name="z589" w:id="588"/>
    <w:p>
      <w:pPr>
        <w:spacing w:after="0"/>
        <w:ind w:left="0"/>
        <w:jc w:val="both"/>
      </w:pPr>
      <w:r>
        <w:rPr>
          <w:rFonts w:ascii="Times New Roman"/>
          <w:b w:val="false"/>
          <w:i w:val="false"/>
          <w:color w:val="000000"/>
          <w:sz w:val="28"/>
        </w:rPr>
        <w:t>
      В этой связи будут реализованы меры по поэтапному переходу на консолидированную финансовую отчетность страны, составленную в соответствии с международными стандартами.</w:t>
      </w:r>
    </w:p>
    <w:bookmarkEnd w:id="588"/>
    <w:bookmarkStart w:name="z590" w:id="589"/>
    <w:p>
      <w:pPr>
        <w:spacing w:after="0"/>
        <w:ind w:left="0"/>
        <w:jc w:val="both"/>
      </w:pPr>
      <w:r>
        <w:rPr>
          <w:rFonts w:ascii="Times New Roman"/>
          <w:b w:val="false"/>
          <w:i w:val="false"/>
          <w:color w:val="000000"/>
          <w:sz w:val="28"/>
        </w:rPr>
        <w:t>
      Начиная с формирования проекта республиканского бюджета на 2023 год, прогноз поступлений и расходов Государственного фонда социального страхования и Фонда социального медицинского страхования будет отражаться в отдельном приложении к проекту закона о республиканском бюджете на трехлетний период. Информация о фактических поступлениях и расходах указанных фондов будет отражаться в годовом отчете Правительства об исполнении республиканского бюджета.</w:t>
      </w:r>
    </w:p>
    <w:bookmarkEnd w:id="589"/>
    <w:bookmarkStart w:name="z591" w:id="590"/>
    <w:p>
      <w:pPr>
        <w:spacing w:after="0"/>
        <w:ind w:left="0"/>
        <w:jc w:val="both"/>
      </w:pPr>
      <w:r>
        <w:rPr>
          <w:rFonts w:ascii="Times New Roman"/>
          <w:b w:val="false"/>
          <w:i w:val="false"/>
          <w:color w:val="000000"/>
          <w:sz w:val="28"/>
        </w:rPr>
        <w:t>
      Это повысит прозрачность расходов внебюджетных фондов.</w:t>
      </w:r>
    </w:p>
    <w:bookmarkEnd w:id="590"/>
    <w:bookmarkStart w:name="z592" w:id="591"/>
    <w:p>
      <w:pPr>
        <w:spacing w:after="0"/>
        <w:ind w:left="0"/>
        <w:jc w:val="both"/>
      </w:pPr>
      <w:r>
        <w:rPr>
          <w:rFonts w:ascii="Times New Roman"/>
          <w:b w:val="false"/>
          <w:i w:val="false"/>
          <w:color w:val="000000"/>
          <w:sz w:val="28"/>
        </w:rPr>
        <w:t>
      Кроме того, необходимы:</w:t>
      </w:r>
    </w:p>
    <w:bookmarkEnd w:id="591"/>
    <w:bookmarkStart w:name="z593" w:id="592"/>
    <w:p>
      <w:pPr>
        <w:spacing w:after="0"/>
        <w:ind w:left="0"/>
        <w:jc w:val="both"/>
      </w:pPr>
      <w:r>
        <w:rPr>
          <w:rFonts w:ascii="Times New Roman"/>
          <w:b w:val="false"/>
          <w:i w:val="false"/>
          <w:color w:val="000000"/>
          <w:sz w:val="28"/>
        </w:rPr>
        <w:t>
      обеспечение полного применения методологии формирования информации по статистике государственных финансов в соответствии с руководством Международного валютного фонда;</w:t>
      </w:r>
    </w:p>
    <w:bookmarkEnd w:id="592"/>
    <w:bookmarkStart w:name="z594" w:id="593"/>
    <w:p>
      <w:pPr>
        <w:spacing w:after="0"/>
        <w:ind w:left="0"/>
        <w:jc w:val="both"/>
      </w:pPr>
      <w:r>
        <w:rPr>
          <w:rFonts w:ascii="Times New Roman"/>
          <w:b w:val="false"/>
          <w:i w:val="false"/>
          <w:color w:val="000000"/>
          <w:sz w:val="28"/>
        </w:rPr>
        <w:t>
      совершенствование правил и процедур бухгалтерского учета и финансовой отчетности для организаций государственного сектора;</w:t>
      </w:r>
    </w:p>
    <w:bookmarkEnd w:id="593"/>
    <w:bookmarkStart w:name="z595" w:id="594"/>
    <w:p>
      <w:pPr>
        <w:spacing w:after="0"/>
        <w:ind w:left="0"/>
        <w:jc w:val="both"/>
      </w:pPr>
      <w:r>
        <w:rPr>
          <w:rFonts w:ascii="Times New Roman"/>
          <w:b w:val="false"/>
          <w:i w:val="false"/>
          <w:color w:val="000000"/>
          <w:sz w:val="28"/>
        </w:rPr>
        <w:t>
      совершенствование организации внутреннего государственного финансового контроля;</w:t>
      </w:r>
    </w:p>
    <w:bookmarkEnd w:id="594"/>
    <w:bookmarkStart w:name="z596" w:id="595"/>
    <w:p>
      <w:pPr>
        <w:spacing w:after="0"/>
        <w:ind w:left="0"/>
        <w:jc w:val="both"/>
      </w:pPr>
      <w:r>
        <w:rPr>
          <w:rFonts w:ascii="Times New Roman"/>
          <w:b w:val="false"/>
          <w:i w:val="false"/>
          <w:color w:val="000000"/>
          <w:sz w:val="28"/>
        </w:rPr>
        <w:t>
      обеспечение открытости бюджетного процесса и вовлечение в него институтов гражданского общества.</w:t>
      </w:r>
    </w:p>
    <w:bookmarkEnd w:id="595"/>
    <w:bookmarkStart w:name="z597" w:id="596"/>
    <w:p>
      <w:pPr>
        <w:spacing w:after="0"/>
        <w:ind w:left="0"/>
        <w:jc w:val="both"/>
      </w:pPr>
      <w:r>
        <w:rPr>
          <w:rFonts w:ascii="Times New Roman"/>
          <w:b w:val="false"/>
          <w:i w:val="false"/>
          <w:color w:val="000000"/>
          <w:sz w:val="28"/>
        </w:rPr>
        <w:t>
      В 2022 году будет запущен пилотный проект "Единая информационная система бухгалтерского учета в государственных учреждениях" (далее - "ЕИС БУ"), целью которого является проработка вопроса о внедрении облачной бухгалтерии на единой электронной платформе уполномоченного органа по исполнению бюджета.</w:t>
      </w:r>
    </w:p>
    <w:bookmarkEnd w:id="596"/>
    <w:bookmarkStart w:name="z598" w:id="597"/>
    <w:p>
      <w:pPr>
        <w:spacing w:after="0"/>
        <w:ind w:left="0"/>
        <w:jc w:val="both"/>
      </w:pPr>
      <w:r>
        <w:rPr>
          <w:rFonts w:ascii="Times New Roman"/>
          <w:b w:val="false"/>
          <w:i w:val="false"/>
          <w:color w:val="000000"/>
          <w:sz w:val="28"/>
        </w:rPr>
        <w:t>
      В перспективе уполномоченным органом по внутреннему государственному аудиту в "ЕИС БУ" будет проводиться электронный мониторинг бухгалтерского учета государственных органов (на объектах, в которых проводится аудит консолидированной финансовой отчетности), где будут предусмотрены доступ и кабинет аудитора.</w:t>
      </w:r>
    </w:p>
    <w:bookmarkEnd w:id="597"/>
    <w:bookmarkStart w:name="z599" w:id="598"/>
    <w:p>
      <w:pPr>
        <w:spacing w:after="0"/>
        <w:ind w:left="0"/>
        <w:jc w:val="both"/>
      </w:pPr>
      <w:r>
        <w:rPr>
          <w:rFonts w:ascii="Times New Roman"/>
          <w:b w:val="false"/>
          <w:i w:val="false"/>
          <w:color w:val="000000"/>
          <w:sz w:val="28"/>
        </w:rPr>
        <w:t>
      Это позволит усилить контроль за эффективностью государственных расходов путем проведения бюджетного мониторинга в режиме онлайн.</w:t>
      </w:r>
    </w:p>
    <w:bookmarkEnd w:id="598"/>
    <w:bookmarkStart w:name="z600" w:id="599"/>
    <w:p>
      <w:pPr>
        <w:spacing w:after="0"/>
        <w:ind w:left="0"/>
        <w:jc w:val="both"/>
      </w:pPr>
      <w:r>
        <w:rPr>
          <w:rFonts w:ascii="Times New Roman"/>
          <w:b w:val="false"/>
          <w:i w:val="false"/>
          <w:color w:val="000000"/>
          <w:sz w:val="28"/>
        </w:rPr>
        <w:t>
      В рамках автоматизации бюджетного процесса в 2020 году реализована интеграция между информационной системой государственного планирования (далее - ИСГП) и порталом "Открытые бюджеты" по передаче данных бюджетных заявок.</w:t>
      </w:r>
    </w:p>
    <w:bookmarkEnd w:id="599"/>
    <w:bookmarkStart w:name="z601" w:id="600"/>
    <w:p>
      <w:pPr>
        <w:spacing w:after="0"/>
        <w:ind w:left="0"/>
        <w:jc w:val="both"/>
      </w:pPr>
      <w:r>
        <w:rPr>
          <w:rFonts w:ascii="Times New Roman"/>
          <w:b w:val="false"/>
          <w:i w:val="false"/>
          <w:color w:val="000000"/>
          <w:sz w:val="28"/>
        </w:rPr>
        <w:t>
      В 2022 году планируется реализовать интеграцию по передаче бюджетных программ ИСГП на портал "Открытые бюджеты" (после завершения работ по разработке нового модуля "Бюджетные программы").</w:t>
      </w:r>
    </w:p>
    <w:bookmarkEnd w:id="600"/>
    <w:bookmarkStart w:name="z602" w:id="601"/>
    <w:p>
      <w:pPr>
        <w:spacing w:after="0"/>
        <w:ind w:left="0"/>
        <w:jc w:val="both"/>
      </w:pPr>
      <w:r>
        <w:rPr>
          <w:rFonts w:ascii="Times New Roman"/>
          <w:b w:val="false"/>
          <w:i w:val="false"/>
          <w:color w:val="000000"/>
          <w:sz w:val="28"/>
        </w:rPr>
        <w:t>
      Таким образом, данные, размещаемые на портале "Открытые бюджеты" и в модуле "Бюджет народного участия", поступают из ИСГП, которая в свою очередь будет интегрирована с системой, реализующей онлайн-бюджетный мониторинг.</w:t>
      </w:r>
    </w:p>
    <w:bookmarkEnd w:id="601"/>
    <w:bookmarkStart w:name="z603" w:id="602"/>
    <w:p>
      <w:pPr>
        <w:spacing w:after="0"/>
        <w:ind w:left="0"/>
        <w:jc w:val="both"/>
      </w:pPr>
      <w:r>
        <w:rPr>
          <w:rFonts w:ascii="Times New Roman"/>
          <w:b w:val="false"/>
          <w:i w:val="false"/>
          <w:color w:val="000000"/>
          <w:sz w:val="28"/>
        </w:rPr>
        <w:t>
      Дальнейшее развитие системы казначейства предусматривает совершенствование ее функциональности с закреплением соответствующей ответственности за финансовую дисциплину как органами казначейства, так и пользователями системы казначейства.</w:t>
      </w:r>
    </w:p>
    <w:bookmarkEnd w:id="602"/>
    <w:bookmarkStart w:name="z604" w:id="603"/>
    <w:p>
      <w:pPr>
        <w:spacing w:after="0"/>
        <w:ind w:left="0"/>
        <w:jc w:val="both"/>
      </w:pPr>
      <w:r>
        <w:rPr>
          <w:rFonts w:ascii="Times New Roman"/>
          <w:b w:val="false"/>
          <w:i w:val="false"/>
          <w:color w:val="000000"/>
          <w:sz w:val="28"/>
        </w:rPr>
        <w:t>
      В перспективе органы казначейства будут развивать инструменты по управлению остатками средств на ЕКС и ликвидностью, в том числе путем развития прогнозирования движения денежных средств, расширения инструментов привлечения денежных средств для финансирования дефицита бюджета и размещения временно свободных средств в различные финансовые инструменты.</w:t>
      </w:r>
    </w:p>
    <w:bookmarkEnd w:id="603"/>
    <w:bookmarkStart w:name="z605" w:id="604"/>
    <w:p>
      <w:pPr>
        <w:spacing w:after="0"/>
        <w:ind w:left="0"/>
        <w:jc w:val="both"/>
      </w:pPr>
      <w:r>
        <w:rPr>
          <w:rFonts w:ascii="Times New Roman"/>
          <w:b w:val="false"/>
          <w:i w:val="false"/>
          <w:color w:val="000000"/>
          <w:sz w:val="28"/>
        </w:rPr>
        <w:t>
      Предусматривается увеличение количества КСН и обслуживающихся организаций путем включения в число участников системы казначейских платежей всех государственных организаций.</w:t>
      </w:r>
    </w:p>
    <w:bookmarkEnd w:id="604"/>
    <w:bookmarkStart w:name="z606" w:id="605"/>
    <w:p>
      <w:pPr>
        <w:spacing w:after="0"/>
        <w:ind w:left="0"/>
        <w:jc w:val="both"/>
      </w:pPr>
      <w:r>
        <w:rPr>
          <w:rFonts w:ascii="Times New Roman"/>
          <w:b w:val="false"/>
          <w:i w:val="false"/>
          <w:color w:val="000000"/>
          <w:sz w:val="28"/>
        </w:rPr>
        <w:t>
      Развитие системы казначейства позволяет повысить оперативность доведения денежных средств до получателей бюджетных средств, обеспечить наличие ликвидности в достаточных объемах путем прозрачности и открытости всего бюджетного процесса.</w:t>
      </w:r>
    </w:p>
    <w:bookmarkEnd w:id="605"/>
    <w:bookmarkStart w:name="z607" w:id="606"/>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государственной инвестиционной политикой, в том числе обязательствами государственно-частного партнерства</w:t>
      </w:r>
    </w:p>
    <w:bookmarkEnd w:id="606"/>
    <w:bookmarkStart w:name="z608" w:id="607"/>
    <w:p>
      <w:pPr>
        <w:spacing w:after="0"/>
        <w:ind w:left="0"/>
        <w:jc w:val="both"/>
      </w:pPr>
      <w:r>
        <w:rPr>
          <w:rFonts w:ascii="Times New Roman"/>
          <w:b w:val="false"/>
          <w:i w:val="false"/>
          <w:color w:val="000000"/>
          <w:sz w:val="28"/>
        </w:rPr>
        <w:t>
      Эффективные капитальные расходы бюджета могут выступать действенным инструментом формирования фундамента для долгосрочного экономического роста.</w:t>
      </w:r>
    </w:p>
    <w:bookmarkEnd w:id="607"/>
    <w:bookmarkStart w:name="z609" w:id="608"/>
    <w:p>
      <w:pPr>
        <w:spacing w:after="0"/>
        <w:ind w:left="0"/>
        <w:jc w:val="both"/>
      </w:pPr>
      <w:r>
        <w:rPr>
          <w:rFonts w:ascii="Times New Roman"/>
          <w:b w:val="false"/>
          <w:i w:val="false"/>
          <w:color w:val="000000"/>
          <w:sz w:val="28"/>
        </w:rPr>
        <w:t>
      Основные направления бюджетной инвестиционной политики как составляющей части государственной инвестиционной политики будут определены в Концепции инвестиционной политики Республики Казахстан до 2025 года.</w:t>
      </w:r>
    </w:p>
    <w:bookmarkEnd w:id="608"/>
    <w:bookmarkStart w:name="z610" w:id="609"/>
    <w:p>
      <w:pPr>
        <w:spacing w:after="0"/>
        <w:ind w:left="0"/>
        <w:jc w:val="both"/>
      </w:pPr>
      <w:r>
        <w:rPr>
          <w:rFonts w:ascii="Times New Roman"/>
          <w:b w:val="false"/>
          <w:i w:val="false"/>
          <w:color w:val="000000"/>
          <w:sz w:val="28"/>
        </w:rPr>
        <w:t>
      Главной целью бюджетной инвестиционной политики является создание благоприятных условий для реализации инвестиционных проектов, направленных на обеспечение модернизации, структурных преобразований и устойчивых темпов роста национальной экономики, способствующих обеспечению высокого качества жизни населения страны. Работа в данном направлении будет проводиться с учетом социально-экономической эффективности бюджетных инвестиций.</w:t>
      </w:r>
    </w:p>
    <w:bookmarkEnd w:id="609"/>
    <w:bookmarkStart w:name="z611" w:id="610"/>
    <w:p>
      <w:pPr>
        <w:spacing w:after="0"/>
        <w:ind w:left="0"/>
        <w:jc w:val="both"/>
      </w:pPr>
      <w:r>
        <w:rPr>
          <w:rFonts w:ascii="Times New Roman"/>
          <w:b w:val="false"/>
          <w:i w:val="false"/>
          <w:color w:val="000000"/>
          <w:sz w:val="28"/>
        </w:rPr>
        <w:t>
      Вместе с тем будет продолжена работа по совершенствованию отдельных процедур мониторинга и оценки бюджетных инвестиций.</w:t>
      </w:r>
    </w:p>
    <w:bookmarkEnd w:id="610"/>
    <w:bookmarkStart w:name="z612" w:id="611"/>
    <w:p>
      <w:pPr>
        <w:spacing w:after="0"/>
        <w:ind w:left="0"/>
        <w:jc w:val="both"/>
      </w:pPr>
      <w:r>
        <w:rPr>
          <w:rFonts w:ascii="Times New Roman"/>
          <w:b w:val="false"/>
          <w:i w:val="false"/>
          <w:color w:val="000000"/>
          <w:sz w:val="28"/>
        </w:rPr>
        <w:t>
      С 2021 года администраторами бюджетных программ проводится оценка экономического эффекта от заявляемых расходов на реализацию бюджетных инвестиций на стадии планирования бюджета.</w:t>
      </w:r>
    </w:p>
    <w:bookmarkEnd w:id="611"/>
    <w:bookmarkStart w:name="z613" w:id="612"/>
    <w:p>
      <w:pPr>
        <w:spacing w:after="0"/>
        <w:ind w:left="0"/>
        <w:jc w:val="both"/>
      </w:pPr>
      <w:r>
        <w:rPr>
          <w:rFonts w:ascii="Times New Roman"/>
          <w:b w:val="false"/>
          <w:i w:val="false"/>
          <w:color w:val="000000"/>
          <w:sz w:val="28"/>
        </w:rPr>
        <w:t>
      При этом действующее законодательство по оценке завершенных бюджетных инвестиций ставит целью только сопоставление запланированных результатов проекта с достигнутыми результатами.</w:t>
      </w:r>
    </w:p>
    <w:bookmarkEnd w:id="612"/>
    <w:bookmarkStart w:name="z614" w:id="613"/>
    <w:p>
      <w:pPr>
        <w:spacing w:after="0"/>
        <w:ind w:left="0"/>
        <w:jc w:val="both"/>
      </w:pPr>
      <w:r>
        <w:rPr>
          <w:rFonts w:ascii="Times New Roman"/>
          <w:b w:val="false"/>
          <w:i w:val="false"/>
          <w:color w:val="000000"/>
          <w:sz w:val="28"/>
        </w:rPr>
        <w:t>
      В целях обеспечения наилучшей эффективности бюджетных расходов будет усовершенствован механизм проведения оценки социально - экономического эффекта от реализации бюджетных инвестиций.</w:t>
      </w:r>
    </w:p>
    <w:bookmarkEnd w:id="613"/>
    <w:bookmarkStart w:name="z615" w:id="614"/>
    <w:p>
      <w:pPr>
        <w:spacing w:after="0"/>
        <w:ind w:left="0"/>
        <w:jc w:val="both"/>
      </w:pPr>
      <w:r>
        <w:rPr>
          <w:rFonts w:ascii="Times New Roman"/>
          <w:b w:val="false"/>
          <w:i w:val="false"/>
          <w:color w:val="000000"/>
          <w:sz w:val="28"/>
        </w:rPr>
        <w:t>
      В целях привлечения дополнительных объемов инвестиций в экономику страны согласно Концепции инвестиционной политики Республики Казахстан до 2025 года будут приняты меры по развитию альтернативных источников инвестиций.</w:t>
      </w:r>
    </w:p>
    <w:bookmarkEnd w:id="614"/>
    <w:bookmarkStart w:name="z616" w:id="615"/>
    <w:p>
      <w:pPr>
        <w:spacing w:after="0"/>
        <w:ind w:left="0"/>
        <w:jc w:val="both"/>
      </w:pPr>
      <w:r>
        <w:rPr>
          <w:rFonts w:ascii="Times New Roman"/>
          <w:b w:val="false"/>
          <w:i w:val="false"/>
          <w:color w:val="000000"/>
          <w:sz w:val="28"/>
        </w:rPr>
        <w:t>
      Для повышения эффективности государственных расходов на поддержку ГЧП будет проведена работа по фокусированию механизма ГЧП на отраслях, где будет получен наибольший эффект, с определением перечня приоритетных отраслей экономики для реализации проектов по ГЧП.</w:t>
      </w:r>
    </w:p>
    <w:bookmarkEnd w:id="615"/>
    <w:bookmarkStart w:name="z617" w:id="616"/>
    <w:p>
      <w:pPr>
        <w:spacing w:after="0"/>
        <w:ind w:left="0"/>
        <w:jc w:val="both"/>
      </w:pPr>
      <w:r>
        <w:rPr>
          <w:rFonts w:ascii="Times New Roman"/>
          <w:b w:val="false"/>
          <w:i w:val="false"/>
          <w:color w:val="000000"/>
          <w:sz w:val="28"/>
        </w:rPr>
        <w:t>
      В дальнейшем развитии ГЧП приоритет будет отдаваться проектам, реализуемым преимущественно за счет внебюджетных средств, с целью поэтапного снижения участия государства в реализации проектов ГЧП.</w:t>
      </w:r>
    </w:p>
    <w:bookmarkEnd w:id="616"/>
    <w:bookmarkStart w:name="z618" w:id="617"/>
    <w:p>
      <w:pPr>
        <w:spacing w:after="0"/>
        <w:ind w:left="0"/>
        <w:jc w:val="both"/>
      </w:pPr>
      <w:r>
        <w:rPr>
          <w:rFonts w:ascii="Times New Roman"/>
          <w:b w:val="false"/>
          <w:i w:val="false"/>
          <w:color w:val="000000"/>
          <w:sz w:val="28"/>
        </w:rPr>
        <w:t>
      Основным направлением дальнейшего развития механизма станут совершенствование системы отбора, подготовки и управления проектами ГЧП с разработкой соответствующих поправок в законодательство в области ГЧП.</w:t>
      </w:r>
    </w:p>
    <w:bookmarkEnd w:id="617"/>
    <w:bookmarkStart w:name="z619" w:id="618"/>
    <w:p>
      <w:pPr>
        <w:spacing w:after="0"/>
        <w:ind w:left="0"/>
        <w:jc w:val="both"/>
      </w:pPr>
      <w:r>
        <w:rPr>
          <w:rFonts w:ascii="Times New Roman"/>
          <w:b w:val="false"/>
          <w:i w:val="false"/>
          <w:color w:val="000000"/>
          <w:sz w:val="28"/>
        </w:rPr>
        <w:t>
      При выработке новых подходов к системе отбора проектов ГЧП будут учтены такие требования, как недопущение использования ГЧП для ухода от процедур государственных закупок, обеспечение сбалансированного распределения обязанностей, обязательств, гарантий, рисков и доходов между инициаторами проектов и государством, а также внедрение жҰстких и оцениваемых критериев отбора и требований к проектам ГЧП.</w:t>
      </w:r>
    </w:p>
    <w:bookmarkEnd w:id="618"/>
    <w:bookmarkStart w:name="z620" w:id="619"/>
    <w:p>
      <w:pPr>
        <w:spacing w:after="0"/>
        <w:ind w:left="0"/>
        <w:jc w:val="both"/>
      </w:pPr>
      <w:r>
        <w:rPr>
          <w:rFonts w:ascii="Times New Roman"/>
          <w:b w:val="false"/>
          <w:i w:val="false"/>
          <w:color w:val="000000"/>
          <w:sz w:val="28"/>
        </w:rPr>
        <w:t>
      Вместе с тем, в целях обеспечения долгосрочного планирования расходов на ГЧП будет проработан вопрос установления четкой законодательной рамки в отношении софинансирования проектов ГЧП со стороны государства с конкретизацией условий выплат, а также долей участия государственного партнера в проекте и критериев, определяющих возможность применения софинансирования к проекту ГЧП.</w:t>
      </w:r>
    </w:p>
    <w:bookmarkEnd w:id="619"/>
    <w:bookmarkStart w:name="z621" w:id="620"/>
    <w:p>
      <w:pPr>
        <w:spacing w:after="0"/>
        <w:ind w:left="0"/>
        <w:jc w:val="both"/>
      </w:pPr>
      <w:r>
        <w:rPr>
          <w:rFonts w:ascii="Times New Roman"/>
          <w:b w:val="false"/>
          <w:i w:val="false"/>
          <w:color w:val="000000"/>
          <w:sz w:val="28"/>
        </w:rPr>
        <w:t>
      Согласно законодательству Республики Казахстан в области ГЧП и концессиях возможность принятия государственными органами финансовых обязательств по договорам ГЧП ограничивается лимитами Правительства и регионов.</w:t>
      </w:r>
    </w:p>
    <w:bookmarkEnd w:id="620"/>
    <w:bookmarkStart w:name="z622" w:id="621"/>
    <w:p>
      <w:pPr>
        <w:spacing w:after="0"/>
        <w:ind w:left="0"/>
        <w:jc w:val="both"/>
      </w:pPr>
      <w:r>
        <w:rPr>
          <w:rFonts w:ascii="Times New Roman"/>
          <w:b w:val="false"/>
          <w:i w:val="false"/>
          <w:color w:val="000000"/>
          <w:sz w:val="28"/>
        </w:rPr>
        <w:t>
      В целях исключения различного понимания действующего законодательства РК в области определения лимитов по проектам ГЧП, а именно в видах мер государственной поддержки, подлежащих ограничению, будет проработан вопрос внесения точечных изменений в методику определения лимитов касательно уточнения мер господдержки (КПЗ, КОЗ, ВЗУ, софинансирование, гарантии, субсидии), которые подлежат включению в состав государственных обязательств.</w:t>
      </w:r>
    </w:p>
    <w:bookmarkEnd w:id="621"/>
    <w:bookmarkStart w:name="z623" w:id="622"/>
    <w:p>
      <w:pPr>
        <w:spacing w:after="0"/>
        <w:ind w:left="0"/>
        <w:jc w:val="both"/>
      </w:pPr>
      <w:r>
        <w:rPr>
          <w:rFonts w:ascii="Times New Roman"/>
          <w:b w:val="false"/>
          <w:i w:val="false"/>
          <w:color w:val="000000"/>
          <w:sz w:val="28"/>
        </w:rPr>
        <w:t>
      Будет обновлена методика определения лимитов государственных обязательств по проектам ГЧП, в том числе государственных концессионных обязательств Правительства РК и местных исполнительных органов.</w:t>
      </w:r>
    </w:p>
    <w:bookmarkEnd w:id="622"/>
    <w:bookmarkStart w:name="z624" w:id="623"/>
    <w:p>
      <w:pPr>
        <w:spacing w:after="0"/>
        <w:ind w:left="0"/>
        <w:jc w:val="both"/>
      </w:pPr>
      <w:r>
        <w:rPr>
          <w:rFonts w:ascii="Times New Roman"/>
          <w:b w:val="false"/>
          <w:i w:val="false"/>
          <w:color w:val="000000"/>
          <w:sz w:val="28"/>
        </w:rPr>
        <w:t>
      Планируется на уровне законодательства регламентировать требования по конкретизации видов затрат инвестора, предлагаемых для возмещения при расчете, с обязательным указанием источника их возмещения.</w:t>
      </w:r>
    </w:p>
    <w:bookmarkEnd w:id="623"/>
    <w:bookmarkStart w:name="z625" w:id="624"/>
    <w:p>
      <w:pPr>
        <w:spacing w:after="0"/>
        <w:ind w:left="0"/>
        <w:jc w:val="both"/>
      </w:pPr>
      <w:r>
        <w:rPr>
          <w:rFonts w:ascii="Times New Roman"/>
          <w:b w:val="false"/>
          <w:i w:val="false"/>
          <w:color w:val="000000"/>
          <w:sz w:val="28"/>
        </w:rPr>
        <w:t>
      Кроме того, будет рассмотрена возможность предоставления рекомендаций соответствующих профильных комитетов Мажилиса Парламента. по инициируемым крупным инфраструктурным проектам ГЧП, предполагающим государственные обязательства.</w:t>
      </w:r>
    </w:p>
    <w:bookmarkEnd w:id="624"/>
    <w:bookmarkStart w:name="z626" w:id="625"/>
    <w:p>
      <w:pPr>
        <w:spacing w:after="0"/>
        <w:ind w:left="0"/>
        <w:jc w:val="both"/>
      </w:pPr>
      <w:r>
        <w:rPr>
          <w:rFonts w:ascii="Times New Roman"/>
          <w:b w:val="false"/>
          <w:i w:val="false"/>
          <w:color w:val="000000"/>
          <w:sz w:val="28"/>
        </w:rPr>
        <w:t xml:space="preserve">
      </w:t>
      </w:r>
      <w:r>
        <w:rPr>
          <w:rFonts w:ascii="Times New Roman"/>
          <w:b/>
          <w:i w:val="false"/>
          <w:color w:val="000000"/>
          <w:sz w:val="28"/>
        </w:rPr>
        <w:t>Эффективность управления государственным имуществом</w:t>
      </w:r>
    </w:p>
    <w:bookmarkEnd w:id="625"/>
    <w:bookmarkStart w:name="z627" w:id="626"/>
    <w:p>
      <w:pPr>
        <w:spacing w:after="0"/>
        <w:ind w:left="0"/>
        <w:jc w:val="both"/>
      </w:pPr>
      <w:r>
        <w:rPr>
          <w:rFonts w:ascii="Times New Roman"/>
          <w:b w:val="false"/>
          <w:i w:val="false"/>
          <w:color w:val="000000"/>
          <w:sz w:val="28"/>
        </w:rPr>
        <w:t>
      В целях совершенствования учета государственного имущества необходимо обеспечить проведение на постоянной основе инвентаризации государственного имущества с актуализацией реестра государственной собственности. Итоги инвентаризации должны служить не только для принятия мер по упорядочению учета, но и повышения эффективности управления государственным имуществом и качества планирования.</w:t>
      </w:r>
    </w:p>
    <w:bookmarkEnd w:id="626"/>
    <w:bookmarkStart w:name="z628" w:id="627"/>
    <w:p>
      <w:pPr>
        <w:spacing w:after="0"/>
        <w:ind w:left="0"/>
        <w:jc w:val="both"/>
      </w:pPr>
      <w:r>
        <w:rPr>
          <w:rFonts w:ascii="Times New Roman"/>
          <w:b w:val="false"/>
          <w:i w:val="false"/>
          <w:color w:val="000000"/>
          <w:sz w:val="28"/>
        </w:rPr>
        <w:t>
      Будет усовершенствована действующая оценка эффективности управления государственным имуществом путем смещения фокуса с организационных вопросов на предмет их конкурентоспособности, рентабельности и финансовой устойчивости.</w:t>
      </w:r>
    </w:p>
    <w:bookmarkEnd w:id="627"/>
    <w:bookmarkStart w:name="z629" w:id="628"/>
    <w:p>
      <w:pPr>
        <w:spacing w:after="0"/>
        <w:ind w:left="0"/>
        <w:jc w:val="both"/>
      </w:pPr>
      <w:r>
        <w:rPr>
          <w:rFonts w:ascii="Times New Roman"/>
          <w:b w:val="false"/>
          <w:i w:val="false"/>
          <w:color w:val="000000"/>
          <w:sz w:val="28"/>
        </w:rPr>
        <w:t>
      Данные меры будут закреплены законодательно как эффективные механизмы и принципы управления государственным имуществом в рамках реализации Концепции развития государственного управления в Республике Казахстан до 2030 года (декабрь 2023 года).</w:t>
      </w:r>
    </w:p>
    <w:bookmarkEnd w:id="628"/>
    <w:bookmarkStart w:name="z630" w:id="629"/>
    <w:p>
      <w:pPr>
        <w:spacing w:after="0"/>
        <w:ind w:left="0"/>
        <w:jc w:val="both"/>
      </w:pPr>
      <w:r>
        <w:rPr>
          <w:rFonts w:ascii="Times New Roman"/>
          <w:b w:val="false"/>
          <w:i w:val="false"/>
          <w:color w:val="000000"/>
          <w:sz w:val="28"/>
        </w:rPr>
        <w:t>
      Необходимо перевести на электронный формат через веб-портал реестра государственного имущества www.gosreestr.kz публичные торги на предоставление земель, прав недропользования, радиочастотного спектра и других активов государства, включая исключительные права государства на оперирование различными объектами государственной собственности.</w:t>
      </w:r>
    </w:p>
    <w:bookmarkEnd w:id="629"/>
    <w:bookmarkStart w:name="z631" w:id="630"/>
    <w:p>
      <w:pPr>
        <w:spacing w:after="0"/>
        <w:ind w:left="0"/>
        <w:jc w:val="both"/>
      </w:pPr>
      <w:r>
        <w:rPr>
          <w:rFonts w:ascii="Times New Roman"/>
          <w:b w:val="false"/>
          <w:i w:val="false"/>
          <w:color w:val="000000"/>
          <w:sz w:val="28"/>
        </w:rPr>
        <w:t>
      Важной частью модернизации государственного управления будет реформирование квазигосударственного сектора. Это требует переосмысления роли квазигосударственного сектора в реализации стратегических задач страны.</w:t>
      </w:r>
    </w:p>
    <w:bookmarkEnd w:id="630"/>
    <w:bookmarkStart w:name="z632" w:id="631"/>
    <w:p>
      <w:pPr>
        <w:spacing w:after="0"/>
        <w:ind w:left="0"/>
        <w:jc w:val="both"/>
      </w:pPr>
      <w:r>
        <w:rPr>
          <w:rFonts w:ascii="Times New Roman"/>
          <w:b w:val="false"/>
          <w:i w:val="false"/>
          <w:color w:val="000000"/>
          <w:sz w:val="28"/>
        </w:rPr>
        <w:t>
      В этом направлении необходимо законодательно пересмотреть условия и формы создания субъектов квазигосударственного сектора в зависимости от специфики деятельности организаций.</w:t>
      </w:r>
    </w:p>
    <w:bookmarkEnd w:id="631"/>
    <w:bookmarkStart w:name="z633" w:id="632"/>
    <w:p>
      <w:pPr>
        <w:spacing w:after="0"/>
        <w:ind w:left="0"/>
        <w:jc w:val="both"/>
      </w:pPr>
      <w:r>
        <w:rPr>
          <w:rFonts w:ascii="Times New Roman"/>
          <w:b w:val="false"/>
          <w:i w:val="false"/>
          <w:color w:val="000000"/>
          <w:sz w:val="28"/>
        </w:rPr>
        <w:t>
      В этой связи, до конца текущего года планируется сформировать и законодательно закрепить систему классификации субъектов квазигосударственного сектора согласно утвержденной Концепции развития государственного управления в Республике Казахстан до 2030 года.</w:t>
      </w:r>
    </w:p>
    <w:bookmarkEnd w:id="632"/>
    <w:bookmarkStart w:name="z634" w:id="633"/>
    <w:p>
      <w:pPr>
        <w:spacing w:after="0"/>
        <w:ind w:left="0"/>
        <w:jc w:val="both"/>
      </w:pPr>
      <w:r>
        <w:rPr>
          <w:rFonts w:ascii="Times New Roman"/>
          <w:b w:val="false"/>
          <w:i w:val="false"/>
          <w:color w:val="000000"/>
          <w:sz w:val="28"/>
        </w:rPr>
        <w:t>
      Работа по дальнейшему сокращению участия государства в экономике будет проведена путем совершенствования механизмов приватизации, а также пересмотра подходов к оптимизации перечня видов деятельности, разрешенных для организаций с государственным участием.</w:t>
      </w:r>
    </w:p>
    <w:bookmarkEnd w:id="633"/>
    <w:bookmarkStart w:name="z635" w:id="634"/>
    <w:p>
      <w:pPr>
        <w:spacing w:after="0"/>
        <w:ind w:left="0"/>
        <w:jc w:val="both"/>
      </w:pPr>
      <w:r>
        <w:rPr>
          <w:rFonts w:ascii="Times New Roman"/>
          <w:b w:val="false"/>
          <w:i w:val="false"/>
          <w:color w:val="000000"/>
          <w:sz w:val="28"/>
        </w:rPr>
        <w:t>
      Одним из направлений данной работы должен стать регулярный анализ на предмет конкуренции субъектов квазигосударственного сектора с рынком. Если предприятие работает в сфере, где действуют организации частного сектора, то должен ставиться вопрос о его ликвидации либо приватизации во избежание конкуренции.</w:t>
      </w:r>
    </w:p>
    <w:bookmarkEnd w:id="634"/>
    <w:bookmarkStart w:name="z636" w:id="635"/>
    <w:p>
      <w:pPr>
        <w:spacing w:after="0"/>
        <w:ind w:left="0"/>
        <w:jc w:val="both"/>
      </w:pPr>
      <w:r>
        <w:rPr>
          <w:rFonts w:ascii="Times New Roman"/>
          <w:b w:val="false"/>
          <w:i w:val="false"/>
          <w:color w:val="000000"/>
          <w:sz w:val="28"/>
        </w:rPr>
        <w:t>
      Следует обеспечить прозрачность деятельности квазигосударственного сектора с созданием открытого, доступного и удобного для пользователей единого информационного ресурса. Информационный ресурс должен содержать необходимую аналитическую информацию о квазигосударственном секторе.</w:t>
      </w:r>
    </w:p>
    <w:bookmarkEnd w:id="635"/>
    <w:bookmarkStart w:name="z637" w:id="636"/>
    <w:p>
      <w:pPr>
        <w:spacing w:after="0"/>
        <w:ind w:left="0"/>
        <w:jc w:val="both"/>
      </w:pPr>
      <w:r>
        <w:rPr>
          <w:rFonts w:ascii="Times New Roman"/>
          <w:b w:val="false"/>
          <w:i w:val="false"/>
          <w:color w:val="000000"/>
          <w:sz w:val="28"/>
        </w:rPr>
        <w:t>
      Данная мера утверждена в пункте 29 Плана действий по реализации Концепции развития государственного управления в Республике Казахстан до 2030 года, где необходимо актуализировать реестр государственного имущества со сроком исполнения до конца 2022 года.</w:t>
      </w:r>
    </w:p>
    <w:bookmarkEnd w:id="636"/>
    <w:bookmarkStart w:name="z638" w:id="637"/>
    <w:p>
      <w:pPr>
        <w:spacing w:after="0"/>
        <w:ind w:left="0"/>
        <w:jc w:val="left"/>
      </w:pPr>
      <w:r>
        <w:rPr>
          <w:rFonts w:ascii="Times New Roman"/>
          <w:b/>
          <w:i w:val="false"/>
          <w:color w:val="000000"/>
        </w:rPr>
        <w:t xml:space="preserve"> 5.5. Политика управления государственным долгом</w:t>
      </w:r>
    </w:p>
    <w:bookmarkEnd w:id="637"/>
    <w:bookmarkStart w:name="z639" w:id="638"/>
    <w:p>
      <w:pPr>
        <w:spacing w:after="0"/>
        <w:ind w:left="0"/>
        <w:jc w:val="both"/>
      </w:pPr>
      <w:r>
        <w:rPr>
          <w:rFonts w:ascii="Times New Roman"/>
          <w:b w:val="false"/>
          <w:i w:val="false"/>
          <w:color w:val="000000"/>
          <w:sz w:val="28"/>
        </w:rPr>
        <w:t>
      Политика управления государственным долгом будет направлена на снижение валютных рисков, ограничение роста долговой нагрузки на бюджет, недопущение дефолтов, а также повышение эффективности и дисциплины использования внешних заимствований.</w:t>
      </w:r>
    </w:p>
    <w:bookmarkEnd w:id="638"/>
    <w:bookmarkStart w:name="z640" w:id="639"/>
    <w:p>
      <w:pPr>
        <w:spacing w:after="0"/>
        <w:ind w:left="0"/>
        <w:jc w:val="both"/>
      </w:pPr>
      <w:r>
        <w:rPr>
          <w:rFonts w:ascii="Times New Roman"/>
          <w:b w:val="false"/>
          <w:i w:val="false"/>
          <w:color w:val="000000"/>
          <w:sz w:val="28"/>
        </w:rPr>
        <w:t>
      Политика управления государственными и квазигосударственными обязательствами, включая координацию центральных государственных органов и МИО, национальных холдингов в вопросах заимствования, анализ и прогноз государственного и квазигосударственного долга, установление соответствующих лимитов по долгу, будет осуществляться центральным уполномоченным органом по государственному планированию.</w:t>
      </w:r>
    </w:p>
    <w:bookmarkEnd w:id="639"/>
    <w:bookmarkStart w:name="z641" w:id="640"/>
    <w:p>
      <w:pPr>
        <w:spacing w:after="0"/>
        <w:ind w:left="0"/>
        <w:jc w:val="both"/>
      </w:pPr>
      <w:r>
        <w:rPr>
          <w:rFonts w:ascii="Times New Roman"/>
          <w:b w:val="false"/>
          <w:i w:val="false"/>
          <w:color w:val="000000"/>
          <w:sz w:val="28"/>
        </w:rPr>
        <w:t>
      Центральный уполномоченный орган по исполнению бюджета будет обеспечивать выполнение политики по регулированию долга сектора государственного управления и условных обязательств государства, а также вести мониторинг состояния государственного долга и долга организаций, контролируемых государством.</w:t>
      </w:r>
    </w:p>
    <w:bookmarkEnd w:id="640"/>
    <w:bookmarkStart w:name="z642" w:id="641"/>
    <w:p>
      <w:pPr>
        <w:spacing w:after="0"/>
        <w:ind w:left="0"/>
        <w:jc w:val="both"/>
      </w:pPr>
      <w:r>
        <w:rPr>
          <w:rFonts w:ascii="Times New Roman"/>
          <w:b w:val="false"/>
          <w:i w:val="false"/>
          <w:color w:val="000000"/>
          <w:sz w:val="28"/>
        </w:rPr>
        <w:t>
      НБ, руководствуясь международной методологией по формированию статистики внешнего сектора, будет вести мониторинг состояния внешнего долга организаций, контролируемых государством, и частного сектора, проводить оценку состояния внешнего долга страны.</w:t>
      </w:r>
    </w:p>
    <w:bookmarkEnd w:id="641"/>
    <w:bookmarkStart w:name="z643" w:id="642"/>
    <w:p>
      <w:pPr>
        <w:spacing w:after="0"/>
        <w:ind w:left="0"/>
        <w:jc w:val="both"/>
      </w:pPr>
      <w:r>
        <w:rPr>
          <w:rFonts w:ascii="Times New Roman"/>
          <w:b w:val="false"/>
          <w:i w:val="false"/>
          <w:color w:val="000000"/>
          <w:sz w:val="28"/>
        </w:rPr>
        <w:t>
      Также в системе управления государственным долгом СЭП будет рассматривать выполнение ограничений и правил по долгу, установленных настоящей Концепцией.</w:t>
      </w:r>
    </w:p>
    <w:bookmarkEnd w:id="642"/>
    <w:bookmarkStart w:name="z644" w:id="643"/>
    <w:p>
      <w:pPr>
        <w:spacing w:after="0"/>
        <w:ind w:left="0"/>
        <w:jc w:val="both"/>
      </w:pPr>
      <w:r>
        <w:rPr>
          <w:rFonts w:ascii="Times New Roman"/>
          <w:b w:val="false"/>
          <w:i w:val="false"/>
          <w:color w:val="000000"/>
          <w:sz w:val="28"/>
        </w:rPr>
        <w:t>
      Политика управления государственным долгом будет осуществляться в пределах следующих финансовых ограничений и правил.</w:t>
      </w:r>
    </w:p>
    <w:bookmarkEnd w:id="643"/>
    <w:bookmarkStart w:name="z645" w:id="644"/>
    <w:p>
      <w:pPr>
        <w:spacing w:after="0"/>
        <w:ind w:left="0"/>
        <w:jc w:val="both"/>
      </w:pPr>
      <w:r>
        <w:rPr>
          <w:rFonts w:ascii="Times New Roman"/>
          <w:b w:val="false"/>
          <w:i w:val="false"/>
          <w:color w:val="000000"/>
          <w:sz w:val="28"/>
        </w:rPr>
        <w:t>
      В целях поддержания долговой устойчивости государственный долг и долг квазигосударственного сектора в совокупности не должен превышать 53,2 % к ВВП к 2030 году.</w:t>
      </w:r>
    </w:p>
    <w:bookmarkEnd w:id="644"/>
    <w:bookmarkStart w:name="z646" w:id="645"/>
    <w:p>
      <w:pPr>
        <w:spacing w:after="0"/>
        <w:ind w:left="0"/>
        <w:jc w:val="both"/>
      </w:pPr>
      <w:r>
        <w:rPr>
          <w:rFonts w:ascii="Times New Roman"/>
          <w:b w:val="false"/>
          <w:i w:val="false"/>
          <w:color w:val="000000"/>
          <w:sz w:val="28"/>
        </w:rPr>
        <w:t>
      В целях ограничения долговой нагрузки на бюджет расходы по обслуживанию правительственного долга к 2030 году не должны превышать 10 % от расходов республиканского бюджета.</w:t>
      </w:r>
    </w:p>
    <w:bookmarkEnd w:id="645"/>
    <w:bookmarkStart w:name="z647" w:id="646"/>
    <w:p>
      <w:pPr>
        <w:spacing w:after="0"/>
        <w:ind w:left="0"/>
        <w:jc w:val="both"/>
      </w:pPr>
      <w:r>
        <w:rPr>
          <w:rFonts w:ascii="Times New Roman"/>
          <w:b w:val="false"/>
          <w:i w:val="false"/>
          <w:color w:val="000000"/>
          <w:sz w:val="28"/>
        </w:rPr>
        <w:t>
      В целом работа будет ориентирована на сдерживание роста государственного долга, который не может превышать 32 % к ВВП к 2030 году.</w:t>
      </w:r>
    </w:p>
    <w:bookmarkEnd w:id="646"/>
    <w:bookmarkStart w:name="z648" w:id="647"/>
    <w:p>
      <w:pPr>
        <w:spacing w:after="0"/>
        <w:ind w:left="0"/>
        <w:jc w:val="both"/>
      </w:pPr>
      <w:r>
        <w:rPr>
          <w:rFonts w:ascii="Times New Roman"/>
          <w:b w:val="false"/>
          <w:i w:val="false"/>
          <w:color w:val="000000"/>
          <w:sz w:val="28"/>
        </w:rPr>
        <w:t>
      При этом политика управления долгом будет направлена на поддержание правительственного долга на уровне не выше 27,5 % к ВВП к 2030 году.</w:t>
      </w:r>
    </w:p>
    <w:bookmarkEnd w:id="647"/>
    <w:bookmarkStart w:name="z649" w:id="648"/>
    <w:p>
      <w:pPr>
        <w:spacing w:after="0"/>
        <w:ind w:left="0"/>
        <w:jc w:val="both"/>
      </w:pPr>
      <w:r>
        <w:rPr>
          <w:rFonts w:ascii="Times New Roman"/>
          <w:b w:val="false"/>
          <w:i w:val="false"/>
          <w:color w:val="000000"/>
          <w:sz w:val="28"/>
        </w:rPr>
        <w:t>
      В случае превышения предупредительных ковенантов государственного долга, правительственного долга и уровня долговой нагрузки, будут детально анализироваться состояние и структура государственного и правительственного долга.</w:t>
      </w:r>
    </w:p>
    <w:bookmarkEnd w:id="648"/>
    <w:bookmarkStart w:name="z650" w:id="649"/>
    <w:p>
      <w:pPr>
        <w:spacing w:after="0"/>
        <w:ind w:left="0"/>
        <w:jc w:val="both"/>
      </w:pPr>
      <w:r>
        <w:rPr>
          <w:rFonts w:ascii="Times New Roman"/>
          <w:b w:val="false"/>
          <w:i w:val="false"/>
          <w:color w:val="000000"/>
          <w:sz w:val="28"/>
        </w:rPr>
        <w:t>
      При необходимости будут вноситься корректировки в программы развития в части финансирования и/или сроков реализации проектов с иностранным участием, принятия мер по сокращению долга, включая оптимизацию расходов бюджета, и обеспечения сбалансированного бюджета, включая корректировку уровня дефицита бюджета.</w:t>
      </w:r>
    </w:p>
    <w:bookmarkEnd w:id="649"/>
    <w:bookmarkStart w:name="z651" w:id="650"/>
    <w:p>
      <w:pPr>
        <w:spacing w:after="0"/>
        <w:ind w:left="0"/>
        <w:jc w:val="both"/>
      </w:pPr>
      <w:r>
        <w:rPr>
          <w:rFonts w:ascii="Times New Roman"/>
          <w:b w:val="false"/>
          <w:i w:val="false"/>
          <w:color w:val="000000"/>
          <w:sz w:val="28"/>
        </w:rPr>
        <w:t>
      Также могут быть усилены косвенные меры (введение специального валютного режима, регулирование пруденциальными нормативами и так далее), направленные на дестимулирование или ограничение внешнего заимствования резидентов.</w:t>
      </w:r>
    </w:p>
    <w:bookmarkEnd w:id="650"/>
    <w:bookmarkStart w:name="z652" w:id="651"/>
    <w:p>
      <w:pPr>
        <w:spacing w:after="0"/>
        <w:ind w:left="0"/>
        <w:jc w:val="both"/>
      </w:pPr>
      <w:r>
        <w:rPr>
          <w:rFonts w:ascii="Times New Roman"/>
          <w:b w:val="false"/>
          <w:i w:val="false"/>
          <w:color w:val="000000"/>
          <w:sz w:val="28"/>
        </w:rPr>
        <w:t>
      Совершенствование методов управления государственным долгом также может включать такие мероприятия, как:</w:t>
      </w:r>
    </w:p>
    <w:bookmarkEnd w:id="651"/>
    <w:bookmarkStart w:name="z653" w:id="652"/>
    <w:p>
      <w:pPr>
        <w:spacing w:after="0"/>
        <w:ind w:left="0"/>
        <w:jc w:val="both"/>
      </w:pPr>
      <w:r>
        <w:rPr>
          <w:rFonts w:ascii="Times New Roman"/>
          <w:b w:val="false"/>
          <w:i w:val="false"/>
          <w:color w:val="000000"/>
          <w:sz w:val="28"/>
        </w:rPr>
        <w:t>
      1) формирование и поддержание крупных кассовых излишков на счетах Комитета казначейства Министерства финансов (далее - Казначейство), что позволит добиться большей гибкости в привлечении финансирования в периоды неблагоприятных рыночных условий;</w:t>
      </w:r>
    </w:p>
    <w:bookmarkEnd w:id="652"/>
    <w:bookmarkStart w:name="z654" w:id="653"/>
    <w:p>
      <w:pPr>
        <w:spacing w:after="0"/>
        <w:ind w:left="0"/>
        <w:jc w:val="both"/>
      </w:pPr>
      <w:r>
        <w:rPr>
          <w:rFonts w:ascii="Times New Roman"/>
          <w:b w:val="false"/>
          <w:i w:val="false"/>
          <w:color w:val="000000"/>
          <w:sz w:val="28"/>
        </w:rPr>
        <w:t>
      2) установление новых "предупредительных" ковенантов по уровню государственного и правительственного долга, уровня долговой нагрузки, долга квазигосударственного сектора, при превышении которых государственные органы будут принимать ограничительные меры.</w:t>
      </w:r>
    </w:p>
    <w:bookmarkEnd w:id="653"/>
    <w:bookmarkStart w:name="z655" w:id="654"/>
    <w:p>
      <w:pPr>
        <w:spacing w:after="0"/>
        <w:ind w:left="0"/>
        <w:jc w:val="both"/>
      </w:pPr>
      <w:r>
        <w:rPr>
          <w:rFonts w:ascii="Times New Roman"/>
          <w:b w:val="false"/>
          <w:i w:val="false"/>
          <w:color w:val="000000"/>
          <w:sz w:val="28"/>
        </w:rPr>
        <w:t>
      В целях поддержания финансовой устойчивости страны политика управления внешним долгом Правительства (включая внешний гарантированный государством долг) и внешним долгом квазигосударственного сектора должна быть увязана с политикой использования НФРК.</w:t>
      </w:r>
    </w:p>
    <w:bookmarkEnd w:id="654"/>
    <w:bookmarkStart w:name="z656" w:id="655"/>
    <w:p>
      <w:pPr>
        <w:spacing w:after="0"/>
        <w:ind w:left="0"/>
        <w:jc w:val="both"/>
      </w:pPr>
      <w:r>
        <w:rPr>
          <w:rFonts w:ascii="Times New Roman"/>
          <w:b w:val="false"/>
          <w:i w:val="false"/>
          <w:color w:val="000000"/>
          <w:sz w:val="28"/>
        </w:rPr>
        <w:t>
      Для управления совокупным внешним долгом будет применяться ограничение по объему внешнего долга Правительства (с учетом внешнего гарантированного государством долга) и внешнего долга субъектов квазигосударственного сектора, который в сумме не должен превышать объем валютных активов НФРК.</w:t>
      </w:r>
    </w:p>
    <w:bookmarkEnd w:id="655"/>
    <w:bookmarkStart w:name="z657" w:id="656"/>
    <w:p>
      <w:pPr>
        <w:spacing w:after="0"/>
        <w:ind w:left="0"/>
        <w:jc w:val="both"/>
      </w:pPr>
      <w:r>
        <w:rPr>
          <w:rFonts w:ascii="Times New Roman"/>
          <w:b w:val="false"/>
          <w:i w:val="false"/>
          <w:color w:val="000000"/>
          <w:sz w:val="28"/>
        </w:rPr>
        <w:t>
      Таким образом, будет поддерживаться чистый отрицательный внешний долг страны.</w:t>
      </w:r>
    </w:p>
    <w:bookmarkEnd w:id="656"/>
    <w:bookmarkStart w:name="z658" w:id="657"/>
    <w:p>
      <w:pPr>
        <w:spacing w:after="0"/>
        <w:ind w:left="0"/>
        <w:jc w:val="both"/>
      </w:pPr>
      <w:r>
        <w:rPr>
          <w:rFonts w:ascii="Times New Roman"/>
          <w:b w:val="false"/>
          <w:i w:val="false"/>
          <w:color w:val="000000"/>
          <w:sz w:val="28"/>
        </w:rPr>
        <w:t>
      С учетом этого также продолжится лимитирование внешнего долга квазигосударственного сектора. Планы по заимствованию квазигосударственного сектора будут проходить обязательное согласование через специальную Комиссию по вопросам определения предельного объема внешнего долга квазигосударственного сектора при уполномоченном органе по государственному планированию.</w:t>
      </w:r>
    </w:p>
    <w:bookmarkEnd w:id="657"/>
    <w:bookmarkStart w:name="z659" w:id="658"/>
    <w:p>
      <w:pPr>
        <w:spacing w:after="0"/>
        <w:ind w:left="0"/>
        <w:jc w:val="both"/>
      </w:pPr>
      <w:r>
        <w:rPr>
          <w:rFonts w:ascii="Times New Roman"/>
          <w:b w:val="false"/>
          <w:i w:val="false"/>
          <w:color w:val="000000"/>
          <w:sz w:val="28"/>
        </w:rPr>
        <w:t>
      Будет расширен перечень субъектов квазигосударственного сектора, для которых будет определяться предельный лимит внешнего долга.</w:t>
      </w:r>
    </w:p>
    <w:bookmarkEnd w:id="658"/>
    <w:bookmarkStart w:name="z660" w:id="659"/>
    <w:p>
      <w:pPr>
        <w:spacing w:after="0"/>
        <w:ind w:left="0"/>
        <w:jc w:val="both"/>
      </w:pPr>
      <w:r>
        <w:rPr>
          <w:rFonts w:ascii="Times New Roman"/>
          <w:b w:val="false"/>
          <w:i w:val="false"/>
          <w:color w:val="000000"/>
          <w:sz w:val="28"/>
        </w:rPr>
        <w:t>
      Предельный объем внешнего долга квазигосударственного сектора будет определяться в первую очередь исходя из соблюдения требования по недопущению превышения совокупным внешним долгом валютных активов НФРК.</w:t>
      </w:r>
    </w:p>
    <w:bookmarkEnd w:id="659"/>
    <w:bookmarkStart w:name="z661" w:id="660"/>
    <w:p>
      <w:pPr>
        <w:spacing w:after="0"/>
        <w:ind w:left="0"/>
        <w:jc w:val="both"/>
      </w:pPr>
      <w:r>
        <w:rPr>
          <w:rFonts w:ascii="Times New Roman"/>
          <w:b w:val="false"/>
          <w:i w:val="false"/>
          <w:color w:val="000000"/>
          <w:sz w:val="28"/>
        </w:rPr>
        <w:t>
      Займы квазигосударственного сектора на внешних рынках будут осуществляться на инвестиционные цели.</w:t>
      </w:r>
    </w:p>
    <w:bookmarkEnd w:id="660"/>
    <w:bookmarkStart w:name="z662" w:id="661"/>
    <w:p>
      <w:pPr>
        <w:spacing w:after="0"/>
        <w:ind w:left="0"/>
        <w:jc w:val="both"/>
      </w:pPr>
      <w:r>
        <w:rPr>
          <w:rFonts w:ascii="Times New Roman"/>
          <w:b w:val="false"/>
          <w:i w:val="false"/>
          <w:color w:val="000000"/>
          <w:sz w:val="28"/>
        </w:rPr>
        <w:t>
      Кроме того, в целях снижения валютных рисков субъекты квазигосударственного сектора при необходимости будут хеджировать новые займы в иностранной валюте по рекомендации Комиссии по вопросам определения предельного объема внешнего долга квазигосударственного сектора.</w:t>
      </w:r>
    </w:p>
    <w:bookmarkEnd w:id="661"/>
    <w:bookmarkStart w:name="z663" w:id="662"/>
    <w:p>
      <w:pPr>
        <w:spacing w:after="0"/>
        <w:ind w:left="0"/>
        <w:jc w:val="both"/>
      </w:pPr>
      <w:r>
        <w:rPr>
          <w:rFonts w:ascii="Times New Roman"/>
          <w:b w:val="false"/>
          <w:i w:val="false"/>
          <w:color w:val="000000"/>
          <w:sz w:val="28"/>
        </w:rPr>
        <w:t>
      В целях обеспечения гибкости долг квазигосударственного сектора (внутренний и внешний) будет регулироваться в рамках ограничения по совокупному долгу в сумме с государственным долгом на уровне 53,2 % к ВВП, в том числе квазигосударственный долг - не более 21,2 % к ВВП в 2022 -2030 годах.</w:t>
      </w:r>
    </w:p>
    <w:bookmarkEnd w:id="662"/>
    <w:bookmarkStart w:name="z664" w:id="663"/>
    <w:p>
      <w:pPr>
        <w:spacing w:after="0"/>
        <w:ind w:left="0"/>
        <w:jc w:val="both"/>
      </w:pPr>
      <w:r>
        <w:rPr>
          <w:rFonts w:ascii="Times New Roman"/>
          <w:b w:val="false"/>
          <w:i w:val="false"/>
          <w:color w:val="000000"/>
          <w:sz w:val="28"/>
        </w:rPr>
        <w:t>
      Согласно международной методологии и практике долговая устойчивость страны может не характеризоваться однозначно значением одного или нескольких параметров. Поэтому на регулярной основе уполномоченными государственными органами будет проводиться комплексный анализ долговой устойчивости, в том числе в рамках подготовки ежегодного аналитического отчета о бюджетных рисках и долгосрочной устойчивости государственных финансов.</w:t>
      </w:r>
    </w:p>
    <w:bookmarkEnd w:id="663"/>
    <w:bookmarkStart w:name="z665" w:id="664"/>
    <w:p>
      <w:pPr>
        <w:spacing w:after="0"/>
        <w:ind w:left="0"/>
        <w:jc w:val="both"/>
      </w:pPr>
      <w:r>
        <w:rPr>
          <w:rFonts w:ascii="Times New Roman"/>
          <w:b w:val="false"/>
          <w:i w:val="false"/>
          <w:color w:val="000000"/>
          <w:sz w:val="28"/>
        </w:rPr>
        <w:t>
      Для повышения долговой устойчивости будут совершенствоваться аналитический инструментарий мониторинга и оценки долговой устойчивости, проводиться ревизия существующих и установление новых индикаторов долговой устойчивости.</w:t>
      </w:r>
    </w:p>
    <w:bookmarkEnd w:id="664"/>
    <w:bookmarkStart w:name="z666" w:id="665"/>
    <w:p>
      <w:pPr>
        <w:spacing w:after="0"/>
        <w:ind w:left="0"/>
        <w:jc w:val="both"/>
      </w:pPr>
      <w:r>
        <w:rPr>
          <w:rFonts w:ascii="Times New Roman"/>
          <w:b w:val="false"/>
          <w:i w:val="false"/>
          <w:color w:val="000000"/>
          <w:sz w:val="28"/>
        </w:rPr>
        <w:t>
      В рамках разработки аналитического отчета о бюджетных рисках и долгосрочной устойчивости государственных финансов будет проработан инструментарий для оценки и прогнозирования долговой устойчивости, а также проведения макрофискального стресс-тестирования, направленного на оценку траектории долга в случае реализации различных макро-фискальных шоков (снижение реального роста ВВП, рост процентной ставки, реализация условных обязательств государства).</w:t>
      </w:r>
    </w:p>
    <w:bookmarkEnd w:id="665"/>
    <w:bookmarkStart w:name="z667" w:id="666"/>
    <w:p>
      <w:pPr>
        <w:spacing w:after="0"/>
        <w:ind w:left="0"/>
        <w:jc w:val="both"/>
      </w:pPr>
      <w:r>
        <w:rPr>
          <w:rFonts w:ascii="Times New Roman"/>
          <w:b w:val="false"/>
          <w:i w:val="false"/>
          <w:color w:val="000000"/>
          <w:sz w:val="28"/>
        </w:rPr>
        <w:t>
      В целях обеспечения долговой устойчивости МИО будут пересмотрены подходы по определению лимитов долга МИО.</w:t>
      </w:r>
    </w:p>
    <w:bookmarkEnd w:id="666"/>
    <w:bookmarkStart w:name="z668" w:id="667"/>
    <w:p>
      <w:pPr>
        <w:spacing w:after="0"/>
        <w:ind w:left="0"/>
        <w:jc w:val="both"/>
      </w:pPr>
      <w:r>
        <w:rPr>
          <w:rFonts w:ascii="Times New Roman"/>
          <w:b w:val="false"/>
          <w:i w:val="false"/>
          <w:color w:val="000000"/>
          <w:sz w:val="28"/>
        </w:rPr>
        <w:t>
      При этом расходы на погашение и обслуживание долга МИО не должны превышать размер, равный 10 % от суммы собственных доходов местного бюджета и трансфертов общего характера.</w:t>
      </w:r>
    </w:p>
    <w:bookmarkEnd w:id="667"/>
    <w:bookmarkStart w:name="z669" w:id="668"/>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Политика государственного заимствования</w:t>
      </w:r>
    </w:p>
    <w:bookmarkEnd w:id="668"/>
    <w:bookmarkStart w:name="z670" w:id="669"/>
    <w:p>
      <w:pPr>
        <w:spacing w:after="0"/>
        <w:ind w:left="0"/>
        <w:jc w:val="both"/>
      </w:pPr>
      <w:r>
        <w:rPr>
          <w:rFonts w:ascii="Times New Roman"/>
          <w:b w:val="false"/>
          <w:i w:val="false"/>
          <w:color w:val="000000"/>
          <w:sz w:val="28"/>
        </w:rPr>
        <w:t>
      В соответствии с потребностями финансирования дефицита республиканского бюджета будет проводиться прозрачная и предсказуемая политика государственного заимствования.</w:t>
      </w:r>
    </w:p>
    <w:bookmarkEnd w:id="669"/>
    <w:bookmarkStart w:name="z671" w:id="670"/>
    <w:p>
      <w:pPr>
        <w:spacing w:after="0"/>
        <w:ind w:left="0"/>
        <w:jc w:val="both"/>
      </w:pPr>
      <w:r>
        <w:rPr>
          <w:rFonts w:ascii="Times New Roman"/>
          <w:b w:val="false"/>
          <w:i w:val="false"/>
          <w:color w:val="000000"/>
          <w:sz w:val="28"/>
        </w:rPr>
        <w:t>
      Государственное заимствование будет осуществляться главным образом на внутреннем рынке.</w:t>
      </w:r>
    </w:p>
    <w:bookmarkEnd w:id="670"/>
    <w:bookmarkStart w:name="z672" w:id="671"/>
    <w:p>
      <w:pPr>
        <w:spacing w:after="0"/>
        <w:ind w:left="0"/>
        <w:jc w:val="both"/>
      </w:pPr>
      <w:r>
        <w:rPr>
          <w:rFonts w:ascii="Times New Roman"/>
          <w:b w:val="false"/>
          <w:i w:val="false"/>
          <w:color w:val="000000"/>
          <w:sz w:val="28"/>
        </w:rPr>
        <w:t>
      В случае выхода на внешние рынки капитала в первую очередь будут рассмотрены инструменты финансирования в тенге с учетом приемлемого уровня доходности.</w:t>
      </w:r>
    </w:p>
    <w:bookmarkEnd w:id="671"/>
    <w:bookmarkStart w:name="z673" w:id="672"/>
    <w:p>
      <w:pPr>
        <w:spacing w:after="0"/>
        <w:ind w:left="0"/>
        <w:jc w:val="both"/>
      </w:pPr>
      <w:r>
        <w:rPr>
          <w:rFonts w:ascii="Times New Roman"/>
          <w:b w:val="false"/>
          <w:i w:val="false"/>
          <w:color w:val="000000"/>
          <w:sz w:val="28"/>
        </w:rPr>
        <w:t>
      В целях использования преимуществ рынка ценных бумаг Международного финансового центра "Астана" продолжится работа по выпуску ГЦБ в иностранной валюте на его бирже по опыту выпуска еврооблигаций 2018-2019 годов и рублевых облигаций в 2020 году.</w:t>
      </w:r>
    </w:p>
    <w:bookmarkEnd w:id="672"/>
    <w:bookmarkStart w:name="z674" w:id="673"/>
    <w:p>
      <w:pPr>
        <w:spacing w:after="0"/>
        <w:ind w:left="0"/>
        <w:jc w:val="both"/>
      </w:pPr>
      <w:r>
        <w:rPr>
          <w:rFonts w:ascii="Times New Roman"/>
          <w:b w:val="false"/>
          <w:i w:val="false"/>
          <w:color w:val="000000"/>
          <w:sz w:val="28"/>
        </w:rPr>
        <w:t>
      Заимствование у международных финансовых организаций и иностранных банков и организаций будет осуществляться с предоставлением предпочтения финансовым инструментам в национальной валюте и инструментам с долгосрочной ликвидностью с условиями заимствования, соответствующими рыночной конъюнктуре.</w:t>
      </w:r>
    </w:p>
    <w:bookmarkEnd w:id="673"/>
    <w:bookmarkStart w:name="z675" w:id="674"/>
    <w:p>
      <w:pPr>
        <w:spacing w:after="0"/>
        <w:ind w:left="0"/>
        <w:jc w:val="both"/>
      </w:pPr>
      <w:r>
        <w:rPr>
          <w:rFonts w:ascii="Times New Roman"/>
          <w:b w:val="false"/>
          <w:i w:val="false"/>
          <w:color w:val="000000"/>
          <w:sz w:val="28"/>
        </w:rPr>
        <w:t>
      При этом планируется отказаться от привлечения внешних займов и займов под государственную гарантию для реализации "неокупаемых" проектов.</w:t>
      </w:r>
    </w:p>
    <w:bookmarkEnd w:id="674"/>
    <w:bookmarkStart w:name="z676" w:id="675"/>
    <w:p>
      <w:pPr>
        <w:spacing w:after="0"/>
        <w:ind w:left="0"/>
        <w:jc w:val="both"/>
      </w:pPr>
      <w:r>
        <w:rPr>
          <w:rFonts w:ascii="Times New Roman"/>
          <w:b w:val="false"/>
          <w:i w:val="false"/>
          <w:color w:val="000000"/>
          <w:sz w:val="28"/>
        </w:rPr>
        <w:t>
      Заимствование у правительственных организаций иностранных государств будет рассматриваться с учетом соблюдения экономических и стратегических интересов страны на приемлемых финансовых и юридических условиях, отвечающих интересам государства.</w:t>
      </w:r>
    </w:p>
    <w:bookmarkEnd w:id="675"/>
    <w:bookmarkStart w:name="z677" w:id="676"/>
    <w:p>
      <w:pPr>
        <w:spacing w:after="0"/>
        <w:ind w:left="0"/>
        <w:jc w:val="both"/>
      </w:pPr>
      <w:r>
        <w:rPr>
          <w:rFonts w:ascii="Times New Roman"/>
          <w:b w:val="false"/>
          <w:i w:val="false"/>
          <w:color w:val="000000"/>
          <w:sz w:val="28"/>
        </w:rPr>
        <w:t>
      Уполномоченным органом по исполнению бюджета будет проводиться регулярный анализ ситуации на внешних рынках капитала для рассмотрения альтернативных вариантов выпуска еврооблигаций в национальной валюте либо в иных валютах, имеющих схожую волатильность с национальной валютой, при условии обеспечения гарантированного спроса, а также приемлемых условиях заимствования со стороны международного рынка.</w:t>
      </w:r>
    </w:p>
    <w:bookmarkEnd w:id="676"/>
    <w:bookmarkStart w:name="z678" w:id="677"/>
    <w:p>
      <w:pPr>
        <w:spacing w:after="0"/>
        <w:ind w:left="0"/>
        <w:jc w:val="both"/>
      </w:pPr>
      <w:r>
        <w:rPr>
          <w:rFonts w:ascii="Times New Roman"/>
          <w:b w:val="false"/>
          <w:i w:val="false"/>
          <w:color w:val="000000"/>
          <w:sz w:val="28"/>
        </w:rPr>
        <w:t>
      Уполномоченным органом по исполнению бюджета на регулярной основе будет осуществляться мониторинг конъюнктуры международных рынков долгового капитала для рассмотрения возможности различных вариантов выпуска еврооблигаций, деноминированных в иностранной валюте, при отсутствии достаточной ликвидности на внутреннем рынке и благоприятной конъюнктуры внешнего рынка капитала.</w:t>
      </w:r>
    </w:p>
    <w:bookmarkEnd w:id="677"/>
    <w:bookmarkStart w:name="z679" w:id="678"/>
    <w:p>
      <w:pPr>
        <w:spacing w:after="0"/>
        <w:ind w:left="0"/>
        <w:jc w:val="both"/>
      </w:pPr>
      <w:r>
        <w:rPr>
          <w:rFonts w:ascii="Times New Roman"/>
          <w:b w:val="false"/>
          <w:i w:val="false"/>
          <w:color w:val="000000"/>
          <w:sz w:val="28"/>
        </w:rPr>
        <w:t>
      Для усиления мониторинга за заимствованием будет расширена компетенция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 (далее - Координационный совет).</w:t>
      </w:r>
    </w:p>
    <w:bookmarkEnd w:id="678"/>
    <w:bookmarkStart w:name="z680" w:id="679"/>
    <w:p>
      <w:pPr>
        <w:spacing w:after="0"/>
        <w:ind w:left="0"/>
        <w:jc w:val="both"/>
      </w:pPr>
      <w:r>
        <w:rPr>
          <w:rFonts w:ascii="Times New Roman"/>
          <w:b w:val="false"/>
          <w:i w:val="false"/>
          <w:color w:val="000000"/>
          <w:sz w:val="28"/>
        </w:rPr>
        <w:t>
      Через Координационный совет будут проходить все проекты, планируемые к финансированию за счет правительственных займов и займов под государственную гарантию, а также все новые международные договоры и правительственные соглашения о партнерстве с МФО. Кроме того, одной из функций Координационного совета станет рассмотрение отчетов по оценке эффективности реализации проектов за счет правительственных займов и займов под государственную гарантию.</w:t>
      </w:r>
    </w:p>
    <w:bookmarkEnd w:id="679"/>
    <w:bookmarkStart w:name="z681" w:id="680"/>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статистики государственного долга</w:t>
      </w:r>
    </w:p>
    <w:bookmarkEnd w:id="680"/>
    <w:bookmarkStart w:name="z682" w:id="681"/>
    <w:p>
      <w:pPr>
        <w:spacing w:after="0"/>
        <w:ind w:left="0"/>
        <w:jc w:val="both"/>
      </w:pPr>
      <w:r>
        <w:rPr>
          <w:rFonts w:ascii="Times New Roman"/>
          <w:b w:val="false"/>
          <w:i w:val="false"/>
          <w:color w:val="000000"/>
          <w:sz w:val="28"/>
        </w:rPr>
        <w:t>
      В рамках совершенствования статистики государственного долга и приведения ее в соответствие с международной методологией в составе государственного долга не будет учитываться долг НБ как единственного эмитента национальной валюты, краткосрочные ноты которого не подвержены кредитному риску и исключают возможность дефолта. Внутренний долг Щ&gt;, представляющий собой краткосрочные ноты, которые являются инструментом денежно-кредитной политики, предназначен для регулирования ликвидности банковской системы и не используется для финансирования бюджетных расходов.</w:t>
      </w:r>
    </w:p>
    <w:bookmarkEnd w:id="681"/>
    <w:bookmarkStart w:name="z683" w:id="682"/>
    <w:p>
      <w:pPr>
        <w:spacing w:after="0"/>
        <w:ind w:left="0"/>
        <w:jc w:val="both"/>
      </w:pPr>
      <w:r>
        <w:rPr>
          <w:rFonts w:ascii="Times New Roman"/>
          <w:b w:val="false"/>
          <w:i w:val="false"/>
          <w:color w:val="000000"/>
          <w:sz w:val="28"/>
        </w:rPr>
        <w:t>
      Такой подход является целесообразным с учетом функциональных различий в долговых обязательствах НБ и уполномоченного органа по исполнению бюджета.</w:t>
      </w:r>
    </w:p>
    <w:bookmarkEnd w:id="682"/>
    <w:bookmarkStart w:name="z684" w:id="683"/>
    <w:p>
      <w:pPr>
        <w:spacing w:after="0"/>
        <w:ind w:left="0"/>
        <w:jc w:val="both"/>
      </w:pPr>
      <w:r>
        <w:rPr>
          <w:rFonts w:ascii="Times New Roman"/>
          <w:b w:val="false"/>
          <w:i w:val="false"/>
          <w:color w:val="000000"/>
          <w:sz w:val="28"/>
        </w:rPr>
        <w:t>
      Для полноты учета обязательств квазигосударственного сектора центральный уполномоченный орган по исполнению бюджета будет вести мониторинг внутреннего и внешнего долга национальных операторов, государственных предприятий и предприятий, находящихся в коммунальной собственности.</w:t>
      </w:r>
    </w:p>
    <w:bookmarkEnd w:id="683"/>
    <w:bookmarkStart w:name="z685" w:id="684"/>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внутреннего рынка государственных ценных бумаг</w:t>
      </w:r>
    </w:p>
    <w:bookmarkEnd w:id="684"/>
    <w:bookmarkStart w:name="z686" w:id="685"/>
    <w:p>
      <w:pPr>
        <w:spacing w:after="0"/>
        <w:ind w:left="0"/>
        <w:jc w:val="both"/>
      </w:pPr>
      <w:r>
        <w:rPr>
          <w:rFonts w:ascii="Times New Roman"/>
          <w:b w:val="false"/>
          <w:i w:val="false"/>
          <w:color w:val="000000"/>
          <w:sz w:val="28"/>
        </w:rPr>
        <w:t>
      Долговая политика будет содействовать развитию внутреннего рынка долговых инструментов. Развитие активного рынка ГЦБ будет благоприятно влиять на развитие отечественного рынка ценных бумаг. Это подразумевает дальнейшее развитие первичного и вторичного рынков ГЦБ, способствующее поддержанию достаточной ликвидности на рынке.</w:t>
      </w:r>
    </w:p>
    <w:bookmarkEnd w:id="685"/>
    <w:bookmarkStart w:name="z687" w:id="686"/>
    <w:p>
      <w:pPr>
        <w:spacing w:after="0"/>
        <w:ind w:left="0"/>
        <w:jc w:val="both"/>
      </w:pPr>
      <w:r>
        <w:rPr>
          <w:rFonts w:ascii="Times New Roman"/>
          <w:b w:val="false"/>
          <w:i w:val="false"/>
          <w:color w:val="000000"/>
          <w:sz w:val="28"/>
        </w:rPr>
        <w:t>
      В целях развития внутреннего рынка ГЦБ выпуск ГЦБ будет осуществляться преимущественно на внутреннем рынке в национальной валюте с уровнем доходности и сроками, приемлемыми для участников рынка ценных бумаг.</w:t>
      </w:r>
    </w:p>
    <w:bookmarkEnd w:id="686"/>
    <w:bookmarkStart w:name="z688" w:id="687"/>
    <w:p>
      <w:pPr>
        <w:spacing w:after="0"/>
        <w:ind w:left="0"/>
        <w:jc w:val="both"/>
      </w:pPr>
      <w:r>
        <w:rPr>
          <w:rFonts w:ascii="Times New Roman"/>
          <w:b w:val="false"/>
          <w:i w:val="false"/>
          <w:color w:val="000000"/>
          <w:sz w:val="28"/>
        </w:rPr>
        <w:t>
      Продолжится работа по построению рыночной и справедливой кривой доходности с регулярным размещением ГЦБ уполномоченного органа по исполнению бюджета и нот НБ на первичном рынке на основе рыночного спроса и предложения.</w:t>
      </w:r>
    </w:p>
    <w:bookmarkEnd w:id="687"/>
    <w:bookmarkStart w:name="z689" w:id="688"/>
    <w:p>
      <w:pPr>
        <w:spacing w:after="0"/>
        <w:ind w:left="0"/>
        <w:jc w:val="both"/>
      </w:pPr>
      <w:r>
        <w:rPr>
          <w:rFonts w:ascii="Times New Roman"/>
          <w:b w:val="false"/>
          <w:i w:val="false"/>
          <w:color w:val="000000"/>
          <w:sz w:val="28"/>
        </w:rPr>
        <w:t>
      В целях повышения заинтересованности участников рынка планируется укрупнить объемы эмиссии ГЦБ с сокращением количества выпусков.</w:t>
      </w:r>
    </w:p>
    <w:bookmarkEnd w:id="688"/>
    <w:bookmarkStart w:name="z690" w:id="689"/>
    <w:p>
      <w:pPr>
        <w:spacing w:after="0"/>
        <w:ind w:left="0"/>
        <w:jc w:val="both"/>
      </w:pPr>
      <w:r>
        <w:rPr>
          <w:rFonts w:ascii="Times New Roman"/>
          <w:b w:val="false"/>
          <w:i w:val="false"/>
          <w:color w:val="000000"/>
          <w:sz w:val="28"/>
        </w:rPr>
        <w:t>
      В качестве инструмента формирования оптимальной структуры государственного долга будет применяться практика обратного выкупа и доразмещения выпусков ГЦБ на ключевых сроках при условии благоприятной рыночной конъюнктуры.</w:t>
      </w:r>
    </w:p>
    <w:bookmarkEnd w:id="689"/>
    <w:bookmarkStart w:name="z691" w:id="690"/>
    <w:p>
      <w:pPr>
        <w:spacing w:after="0"/>
        <w:ind w:left="0"/>
        <w:jc w:val="both"/>
      </w:pPr>
      <w:r>
        <w:rPr>
          <w:rFonts w:ascii="Times New Roman"/>
          <w:b w:val="false"/>
          <w:i w:val="false"/>
          <w:color w:val="000000"/>
          <w:sz w:val="28"/>
        </w:rPr>
        <w:t>
      Это позволит оптимизировать график погашения ГЦБ, создать эталонные выпуски, а также укрупнить выпуски ГЦБ в обращении, снизив фрагментацию госдолга.</w:t>
      </w:r>
    </w:p>
    <w:bookmarkEnd w:id="690"/>
    <w:bookmarkStart w:name="z692" w:id="691"/>
    <w:p>
      <w:pPr>
        <w:spacing w:after="0"/>
        <w:ind w:left="0"/>
        <w:jc w:val="both"/>
      </w:pPr>
      <w:r>
        <w:rPr>
          <w:rFonts w:ascii="Times New Roman"/>
          <w:b w:val="false"/>
          <w:i w:val="false"/>
          <w:color w:val="000000"/>
          <w:sz w:val="28"/>
        </w:rPr>
        <w:t>
      Преимущественно будут размещаться ГЦБ со сроками обращения до 10 лет, которые являются наиболее востребованными на рынке.</w:t>
      </w:r>
    </w:p>
    <w:bookmarkEnd w:id="691"/>
    <w:bookmarkStart w:name="z693" w:id="692"/>
    <w:p>
      <w:pPr>
        <w:spacing w:after="0"/>
        <w:ind w:left="0"/>
        <w:jc w:val="both"/>
      </w:pPr>
      <w:r>
        <w:rPr>
          <w:rFonts w:ascii="Times New Roman"/>
          <w:b w:val="false"/>
          <w:i w:val="false"/>
          <w:color w:val="000000"/>
          <w:sz w:val="28"/>
        </w:rPr>
        <w:t>
      Также будут созданы национальные эталонные выпуски ГПБ в национальной валюте.</w:t>
      </w:r>
    </w:p>
    <w:bookmarkEnd w:id="692"/>
    <w:bookmarkStart w:name="z694" w:id="693"/>
    <w:p>
      <w:pPr>
        <w:spacing w:after="0"/>
        <w:ind w:left="0"/>
        <w:jc w:val="both"/>
      </w:pPr>
      <w:r>
        <w:rPr>
          <w:rFonts w:ascii="Times New Roman"/>
          <w:b w:val="false"/>
          <w:i w:val="false"/>
          <w:color w:val="000000"/>
          <w:sz w:val="28"/>
        </w:rPr>
        <w:t>
      Планы и графики по выпуску ГЦБ будут заблаговременно публиковаться с обеспечением строгого следования им.</w:t>
      </w:r>
    </w:p>
    <w:bookmarkEnd w:id="693"/>
    <w:bookmarkStart w:name="z695" w:id="694"/>
    <w:p>
      <w:pPr>
        <w:spacing w:after="0"/>
        <w:ind w:left="0"/>
        <w:jc w:val="both"/>
      </w:pPr>
      <w:r>
        <w:rPr>
          <w:rFonts w:ascii="Times New Roman"/>
          <w:b w:val="false"/>
          <w:i w:val="false"/>
          <w:color w:val="000000"/>
          <w:sz w:val="28"/>
        </w:rPr>
        <w:t>
      В размещениях ГЦБ планируется повысить долю рыночных участников.</w:t>
      </w:r>
    </w:p>
    <w:bookmarkEnd w:id="694"/>
    <w:bookmarkStart w:name="z696" w:id="695"/>
    <w:p>
      <w:pPr>
        <w:spacing w:after="0"/>
        <w:ind w:left="0"/>
        <w:jc w:val="both"/>
      </w:pPr>
      <w:r>
        <w:rPr>
          <w:rFonts w:ascii="Times New Roman"/>
          <w:b w:val="false"/>
          <w:i w:val="false"/>
          <w:color w:val="000000"/>
          <w:sz w:val="28"/>
        </w:rPr>
        <w:t>
      Будут приниматься меры по разработке механизмов обратного выкупа ГЦБ на внутреннем фондовом рынке в целях оптимизации графика погашений ГЦБ и обеспечения выпуска облигаций с коротким сроком обращения, имеющих наибольший спрос среди инвесторов.</w:t>
      </w:r>
    </w:p>
    <w:bookmarkEnd w:id="695"/>
    <w:bookmarkStart w:name="z697" w:id="696"/>
    <w:p>
      <w:pPr>
        <w:spacing w:after="0"/>
        <w:ind w:left="0"/>
        <w:jc w:val="both"/>
      </w:pPr>
      <w:r>
        <w:rPr>
          <w:rFonts w:ascii="Times New Roman"/>
          <w:b w:val="false"/>
          <w:i w:val="false"/>
          <w:color w:val="000000"/>
          <w:sz w:val="28"/>
        </w:rPr>
        <w:t>
      Будет проведена работа по включению ГЦБ в международные индексы развивающихся стран.</w:t>
      </w:r>
    </w:p>
    <w:bookmarkEnd w:id="696"/>
    <w:bookmarkStart w:name="z698" w:id="697"/>
    <w:p>
      <w:pPr>
        <w:spacing w:after="0"/>
        <w:ind w:left="0"/>
        <w:jc w:val="both"/>
      </w:pPr>
      <w:r>
        <w:rPr>
          <w:rFonts w:ascii="Times New Roman"/>
          <w:b w:val="false"/>
          <w:i w:val="false"/>
          <w:color w:val="000000"/>
          <w:sz w:val="28"/>
        </w:rPr>
        <w:t>
      Через международные депозитарии будет обеспечен доступ иностранных инвесторов к казахстанскому фондовому рынку.</w:t>
      </w:r>
    </w:p>
    <w:bookmarkEnd w:id="697"/>
    <w:bookmarkStart w:name="z699" w:id="698"/>
    <w:p>
      <w:pPr>
        <w:spacing w:after="0"/>
        <w:ind w:left="0"/>
        <w:jc w:val="left"/>
      </w:pPr>
      <w:r>
        <w:rPr>
          <w:rFonts w:ascii="Times New Roman"/>
          <w:b/>
          <w:i w:val="false"/>
          <w:color w:val="000000"/>
        </w:rPr>
        <w:t xml:space="preserve"> 5.6. Повышение прозрачности и открытости бюджетного процесса</w:t>
      </w:r>
    </w:p>
    <w:bookmarkEnd w:id="698"/>
    <w:bookmarkStart w:name="z700" w:id="699"/>
    <w:p>
      <w:pPr>
        <w:spacing w:after="0"/>
        <w:ind w:left="0"/>
        <w:jc w:val="both"/>
      </w:pPr>
      <w:r>
        <w:rPr>
          <w:rFonts w:ascii="Times New Roman"/>
          <w:b w:val="false"/>
          <w:i w:val="false"/>
          <w:color w:val="000000"/>
          <w:sz w:val="28"/>
        </w:rPr>
        <w:t>
      Прозрачность и открытость бюджетного процесса предполагают соблюдение следующих принципов:</w:t>
      </w:r>
    </w:p>
    <w:bookmarkEnd w:id="699"/>
    <w:bookmarkStart w:name="z701" w:id="700"/>
    <w:p>
      <w:pPr>
        <w:spacing w:after="0"/>
        <w:ind w:left="0"/>
        <w:jc w:val="both"/>
      </w:pPr>
      <w:r>
        <w:rPr>
          <w:rFonts w:ascii="Times New Roman"/>
          <w:b w:val="false"/>
          <w:i w:val="false"/>
          <w:color w:val="000000"/>
          <w:sz w:val="28"/>
        </w:rPr>
        <w:t>
      доступность информации о проводимой бюджетной политике и ее реализации;</w:t>
      </w:r>
    </w:p>
    <w:bookmarkEnd w:id="700"/>
    <w:bookmarkStart w:name="z702" w:id="701"/>
    <w:p>
      <w:pPr>
        <w:spacing w:after="0"/>
        <w:ind w:left="0"/>
        <w:jc w:val="both"/>
      </w:pPr>
      <w:r>
        <w:rPr>
          <w:rFonts w:ascii="Times New Roman"/>
          <w:b w:val="false"/>
          <w:i w:val="false"/>
          <w:color w:val="000000"/>
          <w:sz w:val="28"/>
        </w:rPr>
        <w:t>
      доступность информации об источниках и направлениях использования национальных ресурсов;</w:t>
      </w:r>
    </w:p>
    <w:bookmarkEnd w:id="701"/>
    <w:bookmarkStart w:name="z703" w:id="702"/>
    <w:p>
      <w:pPr>
        <w:spacing w:after="0"/>
        <w:ind w:left="0"/>
        <w:jc w:val="both"/>
      </w:pPr>
      <w:r>
        <w:rPr>
          <w:rFonts w:ascii="Times New Roman"/>
          <w:b w:val="false"/>
          <w:i w:val="false"/>
          <w:color w:val="000000"/>
          <w:sz w:val="28"/>
        </w:rPr>
        <w:t>
      развитие общественного участия, формирование обоснованного мнения социально активной части граждан о направлениях использования бюджетных средств, учитывая мнение граждан уже на начальных стадиях бюджетного процесса;</w:t>
      </w:r>
    </w:p>
    <w:bookmarkEnd w:id="702"/>
    <w:bookmarkStart w:name="z704" w:id="703"/>
    <w:p>
      <w:pPr>
        <w:spacing w:after="0"/>
        <w:ind w:left="0"/>
        <w:jc w:val="both"/>
      </w:pPr>
      <w:r>
        <w:rPr>
          <w:rFonts w:ascii="Times New Roman"/>
          <w:b w:val="false"/>
          <w:i w:val="false"/>
          <w:color w:val="000000"/>
          <w:sz w:val="28"/>
        </w:rPr>
        <w:t>
      широкое участие общественности в обсуждении приоритетных статей расходования бюджетных ресурсов.</w:t>
      </w:r>
    </w:p>
    <w:bookmarkEnd w:id="703"/>
    <w:bookmarkStart w:name="z705" w:id="704"/>
    <w:p>
      <w:pPr>
        <w:spacing w:after="0"/>
        <w:ind w:left="0"/>
        <w:jc w:val="both"/>
      </w:pPr>
      <w:r>
        <w:rPr>
          <w:rFonts w:ascii="Times New Roman"/>
          <w:b w:val="false"/>
          <w:i w:val="false"/>
          <w:color w:val="000000"/>
          <w:sz w:val="28"/>
        </w:rPr>
        <w:t>
      Целевую аудиторию к информации о бюджете будут составлять граждане, общественные организации, экспертное сообщество, средства массовой информации (далее - СМИ), представители бизнеса, политические деятели, органы государственной власти и местного самоуправления.</w:t>
      </w:r>
    </w:p>
    <w:bookmarkEnd w:id="704"/>
    <w:bookmarkStart w:name="z706" w:id="705"/>
    <w:p>
      <w:pPr>
        <w:spacing w:after="0"/>
        <w:ind w:left="0"/>
        <w:jc w:val="both"/>
      </w:pPr>
      <w:r>
        <w:rPr>
          <w:rFonts w:ascii="Times New Roman"/>
          <w:b w:val="false"/>
          <w:i w:val="false"/>
          <w:color w:val="000000"/>
          <w:sz w:val="28"/>
        </w:rPr>
        <w:t>
      Для повышения эффективности механизмов взаимодействия с общественностью в бюджетных вопросах важно обеспечение доступности информации с точки зрения ее состава и содержания. Бюджетные данные должны иметь практическое значение с указанием степени их детализации, быть выстроены в логической последовательности и предоставлены в онлайн-портале в машиночитаемой форме.</w:t>
      </w:r>
    </w:p>
    <w:bookmarkEnd w:id="705"/>
    <w:bookmarkStart w:name="z707" w:id="706"/>
    <w:p>
      <w:pPr>
        <w:spacing w:after="0"/>
        <w:ind w:left="0"/>
        <w:jc w:val="both"/>
      </w:pPr>
      <w:r>
        <w:rPr>
          <w:rFonts w:ascii="Times New Roman"/>
          <w:b w:val="false"/>
          <w:i w:val="false"/>
          <w:color w:val="000000"/>
          <w:sz w:val="28"/>
        </w:rPr>
        <w:t>
      Основным порталом коммуникации органов государственного и местного управления с общественностью через информационно-телекоммуникационную сеть Интернет выступает портал "Открытые бюджеты", где бюджетные данные представлены для широкого круга заинтересованных пользователей, использующих информацию о бюджете исходя из своих профессиональных целей.</w:t>
      </w:r>
    </w:p>
    <w:bookmarkEnd w:id="706"/>
    <w:bookmarkStart w:name="z708" w:id="707"/>
    <w:p>
      <w:pPr>
        <w:spacing w:after="0"/>
        <w:ind w:left="0"/>
        <w:jc w:val="both"/>
      </w:pPr>
      <w:r>
        <w:rPr>
          <w:rFonts w:ascii="Times New Roman"/>
          <w:b w:val="false"/>
          <w:i w:val="false"/>
          <w:color w:val="000000"/>
          <w:sz w:val="28"/>
        </w:rPr>
        <w:t>
      Должны быть четкое категорирование информации на портале "Открытые бюджеты", улучшены инструменты поиска информации, чтобы граждане могли ориентироваться на портале и легко находить нужную информацию.</w:t>
      </w:r>
    </w:p>
    <w:bookmarkEnd w:id="707"/>
    <w:bookmarkStart w:name="z709" w:id="708"/>
    <w:p>
      <w:pPr>
        <w:spacing w:after="0"/>
        <w:ind w:left="0"/>
        <w:jc w:val="both"/>
      </w:pPr>
      <w:r>
        <w:rPr>
          <w:rFonts w:ascii="Times New Roman"/>
          <w:b w:val="false"/>
          <w:i w:val="false"/>
          <w:color w:val="000000"/>
          <w:sz w:val="28"/>
        </w:rPr>
        <w:t>
      Необходимо обеспечить публикацию на портале "Открытые бюджеты" детализированных данных согласно бюджетной классификации на всех этапах бюджетного процесса, а также аналитической информации по исполнению бюджета, государственному долгу на полугодовой и годовой основе.</w:t>
      </w:r>
    </w:p>
    <w:bookmarkEnd w:id="708"/>
    <w:bookmarkStart w:name="z710" w:id="709"/>
    <w:p>
      <w:pPr>
        <w:spacing w:after="0"/>
        <w:ind w:left="0"/>
        <w:jc w:val="both"/>
      </w:pPr>
      <w:r>
        <w:rPr>
          <w:rFonts w:ascii="Times New Roman"/>
          <w:b w:val="false"/>
          <w:i w:val="false"/>
          <w:color w:val="000000"/>
          <w:sz w:val="28"/>
        </w:rPr>
        <w:t>
      Как способ привлечения населения к управлению общественными финансами проект "Гражданский бюджет" дает возможность гражданам почувствовать свою причастность к процессу принятия государственных решений, а также возможность повлиять на решения, принимаемые органами власти или определить первоочередные объекты и направления финансирования из бюджета.</w:t>
      </w:r>
    </w:p>
    <w:bookmarkEnd w:id="709"/>
    <w:bookmarkStart w:name="z711" w:id="710"/>
    <w:p>
      <w:pPr>
        <w:spacing w:after="0"/>
        <w:ind w:left="0"/>
        <w:jc w:val="both"/>
      </w:pPr>
      <w:r>
        <w:rPr>
          <w:rFonts w:ascii="Times New Roman"/>
          <w:b w:val="false"/>
          <w:i w:val="false"/>
          <w:color w:val="000000"/>
          <w:sz w:val="28"/>
        </w:rPr>
        <w:t>
      Этому также способствует законодательное закрепление обязательности публикации гражданских бюджетов на районном уровне (уровень города регионального значения) в печати СМИ каждой территории.</w:t>
      </w:r>
    </w:p>
    <w:bookmarkEnd w:id="710"/>
    <w:bookmarkStart w:name="z712" w:id="711"/>
    <w:p>
      <w:pPr>
        <w:spacing w:after="0"/>
        <w:ind w:left="0"/>
        <w:jc w:val="both"/>
      </w:pPr>
      <w:r>
        <w:rPr>
          <w:rFonts w:ascii="Times New Roman"/>
          <w:b w:val="false"/>
          <w:i w:val="false"/>
          <w:color w:val="000000"/>
          <w:sz w:val="28"/>
        </w:rPr>
        <w:t>
      Важно пересмотреть роль общественных советов.</w:t>
      </w:r>
    </w:p>
    <w:bookmarkEnd w:id="711"/>
    <w:bookmarkStart w:name="z713" w:id="712"/>
    <w:p>
      <w:pPr>
        <w:spacing w:after="0"/>
        <w:ind w:left="0"/>
        <w:jc w:val="both"/>
      </w:pPr>
      <w:r>
        <w:rPr>
          <w:rFonts w:ascii="Times New Roman"/>
          <w:b w:val="false"/>
          <w:i w:val="false"/>
          <w:color w:val="000000"/>
          <w:sz w:val="28"/>
        </w:rPr>
        <w:t>
      Общественные советы могут стать полезным инструментом для совместного планирования бюджета на местном уровне.</w:t>
      </w:r>
    </w:p>
    <w:bookmarkEnd w:id="712"/>
    <w:bookmarkStart w:name="z714" w:id="713"/>
    <w:p>
      <w:pPr>
        <w:spacing w:after="0"/>
        <w:ind w:left="0"/>
        <w:jc w:val="both"/>
      </w:pPr>
      <w:r>
        <w:rPr>
          <w:rFonts w:ascii="Times New Roman"/>
          <w:b w:val="false"/>
          <w:i w:val="false"/>
          <w:color w:val="000000"/>
          <w:sz w:val="28"/>
        </w:rPr>
        <w:t>
      Для проведения общественной экспертизы при утверждении бюджета планируется использовать площадку общественных советов, которые созданы при центральных государственных органах и акиматах.</w:t>
      </w:r>
    </w:p>
    <w:bookmarkEnd w:id="713"/>
    <w:bookmarkStart w:name="z715" w:id="714"/>
    <w:p>
      <w:pPr>
        <w:spacing w:after="0"/>
        <w:ind w:left="0"/>
        <w:jc w:val="both"/>
      </w:pPr>
      <w:r>
        <w:rPr>
          <w:rFonts w:ascii="Times New Roman"/>
          <w:b w:val="false"/>
          <w:i w:val="false"/>
          <w:color w:val="000000"/>
          <w:sz w:val="28"/>
        </w:rPr>
        <w:t>
      На сегодня Бюджетным кодексом предусмотрено проведение акиматами обсуждения проектов местных бюджетов и годовых отчетов об их исполнении на заседании общественного совета.</w:t>
      </w:r>
    </w:p>
    <w:bookmarkEnd w:id="714"/>
    <w:bookmarkStart w:name="z716" w:id="715"/>
    <w:p>
      <w:pPr>
        <w:spacing w:after="0"/>
        <w:ind w:left="0"/>
        <w:jc w:val="both"/>
      </w:pPr>
      <w:r>
        <w:rPr>
          <w:rFonts w:ascii="Times New Roman"/>
          <w:b w:val="false"/>
          <w:i w:val="false"/>
          <w:color w:val="000000"/>
          <w:sz w:val="28"/>
        </w:rPr>
        <w:t>
      Законом Республики Казахстан "Об общественных советах" общественные советы наделены определенными полномочиями.</w:t>
      </w:r>
    </w:p>
    <w:bookmarkEnd w:id="715"/>
    <w:bookmarkStart w:name="z717" w:id="716"/>
    <w:p>
      <w:pPr>
        <w:spacing w:after="0"/>
        <w:ind w:left="0"/>
        <w:jc w:val="both"/>
      </w:pPr>
      <w:r>
        <w:rPr>
          <w:rFonts w:ascii="Times New Roman"/>
          <w:b w:val="false"/>
          <w:i w:val="false"/>
          <w:color w:val="000000"/>
          <w:sz w:val="28"/>
        </w:rPr>
        <w:t>
      Общественный совет вместе с представителями некоммерческих организаций и гражданами может проводить общественный мониторинг для выявления негативных последствий для граждан и общественных интересов от реализации бюджетных программ.</w:t>
      </w:r>
    </w:p>
    <w:bookmarkEnd w:id="716"/>
    <w:bookmarkStart w:name="z718" w:id="717"/>
    <w:p>
      <w:pPr>
        <w:spacing w:after="0"/>
        <w:ind w:left="0"/>
        <w:jc w:val="both"/>
      </w:pPr>
      <w:r>
        <w:rPr>
          <w:rFonts w:ascii="Times New Roman"/>
          <w:b w:val="false"/>
          <w:i w:val="false"/>
          <w:color w:val="000000"/>
          <w:sz w:val="28"/>
        </w:rPr>
        <w:t>
      Общественная экспертиза общественно значимых расходов на инфраструктурные и социальные инициативы районных (городов областного значения) бюджетов и бюджетов городов районного значения, сел, сельских округов будет проводиться до составления бюджетной заявки администраторами бюджетных программ.</w:t>
      </w:r>
    </w:p>
    <w:bookmarkEnd w:id="717"/>
    <w:bookmarkStart w:name="z719" w:id="718"/>
    <w:p>
      <w:pPr>
        <w:spacing w:after="0"/>
        <w:ind w:left="0"/>
        <w:jc w:val="both"/>
      </w:pPr>
      <w:r>
        <w:rPr>
          <w:rFonts w:ascii="Times New Roman"/>
          <w:b w:val="false"/>
          <w:i w:val="false"/>
          <w:color w:val="000000"/>
          <w:sz w:val="28"/>
        </w:rPr>
        <w:t>
      Общественной экспертизе необходимо подвергать в первую очередь расходы местных бюджетов по благоустройству и развитию социальной инфраструктуры в населенных пунктах.</w:t>
      </w:r>
    </w:p>
    <w:bookmarkEnd w:id="718"/>
    <w:bookmarkStart w:name="z720" w:id="719"/>
    <w:p>
      <w:pPr>
        <w:spacing w:after="0"/>
        <w:ind w:left="0"/>
        <w:jc w:val="both"/>
      </w:pPr>
      <w:r>
        <w:rPr>
          <w:rFonts w:ascii="Times New Roman"/>
          <w:b w:val="false"/>
          <w:i w:val="false"/>
          <w:color w:val="000000"/>
          <w:sz w:val="28"/>
        </w:rPr>
        <w:t>
      Также планируется организовать обратную связь с общественностью по принимаемым бюджетным решениям.</w:t>
      </w:r>
    </w:p>
    <w:bookmarkEnd w:id="719"/>
    <w:bookmarkStart w:name="z721" w:id="720"/>
    <w:p>
      <w:pPr>
        <w:spacing w:after="0"/>
        <w:ind w:left="0"/>
        <w:jc w:val="both"/>
      </w:pPr>
      <w:r>
        <w:rPr>
          <w:rFonts w:ascii="Times New Roman"/>
          <w:b w:val="false"/>
          <w:i w:val="false"/>
          <w:color w:val="000000"/>
          <w:sz w:val="28"/>
        </w:rPr>
        <w:t>
      Положительным потенциалом в улучшении реагирования, эффективности, влияния и доверия со стороны общественности стало представление в общественных советах более широкого круга общественности, направленное на вовлечение и участие граждан и общественности в бюджетном процессе.</w:t>
      </w:r>
    </w:p>
    <w:bookmarkEnd w:id="720"/>
    <w:bookmarkStart w:name="z722" w:id="721"/>
    <w:p>
      <w:pPr>
        <w:spacing w:after="0"/>
        <w:ind w:left="0"/>
        <w:jc w:val="left"/>
      </w:pPr>
      <w:r>
        <w:rPr>
          <w:rFonts w:ascii="Times New Roman"/>
          <w:b/>
          <w:i w:val="false"/>
          <w:color w:val="000000"/>
        </w:rPr>
        <w:t xml:space="preserve"> 5.7. Автоматизация и цифровизация бюджетного процесса</w:t>
      </w:r>
    </w:p>
    <w:bookmarkEnd w:id="721"/>
    <w:bookmarkStart w:name="z723" w:id="722"/>
    <w:p>
      <w:pPr>
        <w:spacing w:after="0"/>
        <w:ind w:left="0"/>
        <w:jc w:val="both"/>
      </w:pPr>
      <w:r>
        <w:rPr>
          <w:rFonts w:ascii="Times New Roman"/>
          <w:b w:val="false"/>
          <w:i w:val="false"/>
          <w:color w:val="000000"/>
          <w:sz w:val="28"/>
        </w:rPr>
        <w:t>
      Автоматизация и цифровизация бюджетного процесса важны для повышения доходной части бюджета, снижения уровня теневой экономики, рационального использования ресурсов в соответствии со стратегическими приоритетами, взаимодействия государства и граждан и повышения уровня доверия.</w:t>
      </w:r>
    </w:p>
    <w:bookmarkEnd w:id="722"/>
    <w:bookmarkStart w:name="z724" w:id="723"/>
    <w:p>
      <w:pPr>
        <w:spacing w:after="0"/>
        <w:ind w:left="0"/>
        <w:jc w:val="both"/>
      </w:pPr>
      <w:r>
        <w:rPr>
          <w:rFonts w:ascii="Times New Roman"/>
          <w:b w:val="false"/>
          <w:i w:val="false"/>
          <w:color w:val="000000"/>
          <w:sz w:val="28"/>
        </w:rPr>
        <w:t>
      Нужно проводить полноценную оцифровку процедур налогового контроля и дистанционный мониторинг исполнения налоговых обязательств. Основными направлениями работы здесь выступают внедрение национальной системы прослеживаемости, электронных счетов-фактур, электронных накладных на товары, системы маркировки товаров, электронного бюджетного планирования, ИС-анализа эффективности бюджетных расходов на меры государственной поддержки, внедрение технологий искусственного интеллекта, big data, блокчейн.</w:t>
      </w:r>
    </w:p>
    <w:bookmarkEnd w:id="723"/>
    <w:bookmarkStart w:name="z725" w:id="724"/>
    <w:p>
      <w:pPr>
        <w:spacing w:after="0"/>
        <w:ind w:left="0"/>
        <w:jc w:val="both"/>
      </w:pPr>
      <w:r>
        <w:rPr>
          <w:rFonts w:ascii="Times New Roman"/>
          <w:b w:val="false"/>
          <w:i w:val="false"/>
          <w:color w:val="000000"/>
          <w:sz w:val="28"/>
        </w:rPr>
        <w:t>
      Важны обеспечение бесперебойной работы единого кабинета налогоплательщика, объединив кабинеты налоговой и таможенной системы, и активное продвижение бесплатного мобильного приложения "Е-Salyk-Azamat" (для физических лиц).</w:t>
      </w:r>
    </w:p>
    <w:bookmarkEnd w:id="724"/>
    <w:bookmarkStart w:name="z726" w:id="725"/>
    <w:p>
      <w:pPr>
        <w:spacing w:after="0"/>
        <w:ind w:left="0"/>
        <w:jc w:val="both"/>
      </w:pPr>
      <w:r>
        <w:rPr>
          <w:rFonts w:ascii="Times New Roman"/>
          <w:b w:val="false"/>
          <w:i w:val="false"/>
          <w:color w:val="000000"/>
          <w:sz w:val="28"/>
        </w:rPr>
        <w:t>
      Очень важно обратить внимание на решение проблемы фискализации денежных переводов, поступающих к предпринимателям от потребителей через банковские мобильные приложения.</w:t>
      </w:r>
    </w:p>
    <w:bookmarkEnd w:id="725"/>
    <w:bookmarkStart w:name="z727" w:id="726"/>
    <w:p>
      <w:pPr>
        <w:spacing w:after="0"/>
        <w:ind w:left="0"/>
        <w:jc w:val="both"/>
      </w:pPr>
      <w:r>
        <w:rPr>
          <w:rFonts w:ascii="Times New Roman"/>
          <w:b w:val="false"/>
          <w:i w:val="false"/>
          <w:color w:val="000000"/>
          <w:sz w:val="28"/>
        </w:rPr>
        <w:t>
      Актуальными являются вопросы совершенствования налогообложения в сфере недропользования, транзакций в офшоры, усиления контроля за выводом капитала из страны, а также декларирования и расхождений в таможенной статистике между странами-партнерами.</w:t>
      </w:r>
    </w:p>
    <w:bookmarkEnd w:id="726"/>
    <w:bookmarkStart w:name="z728" w:id="727"/>
    <w:p>
      <w:pPr>
        <w:spacing w:after="0"/>
        <w:ind w:left="0"/>
        <w:jc w:val="both"/>
      </w:pPr>
      <w:r>
        <w:rPr>
          <w:rFonts w:ascii="Times New Roman"/>
          <w:b w:val="false"/>
          <w:i w:val="false"/>
          <w:color w:val="000000"/>
          <w:sz w:val="28"/>
        </w:rPr>
        <w:t>
      Стоит задача модернизировать и автоматизировать таможенные пункты по приоритетным транзитным направлениям, сократить время таможенного оформления.</w:t>
      </w:r>
    </w:p>
    <w:bookmarkEnd w:id="727"/>
    <w:bookmarkStart w:name="z729" w:id="728"/>
    <w:p>
      <w:pPr>
        <w:spacing w:after="0"/>
        <w:ind w:left="0"/>
        <w:jc w:val="both"/>
      </w:pPr>
      <w:r>
        <w:rPr>
          <w:rFonts w:ascii="Times New Roman"/>
          <w:b w:val="false"/>
          <w:i w:val="false"/>
          <w:color w:val="000000"/>
          <w:sz w:val="28"/>
        </w:rPr>
        <w:t>
      В целях автоматизации процессов администрирования и исключения человеческого фактора запущен модуль "Экспортный контроль" и начато использование навигационных пломб. Модуль "Экспортный контроль" осуществляется в ИС "ЭСФ", который работает по внутренней локальной сети Комитета государственных доходов Министерства финансов Республики Казахстан или через сеть Интернет.</w:t>
      </w:r>
    </w:p>
    <w:bookmarkEnd w:id="728"/>
    <w:bookmarkStart w:name="z730" w:id="729"/>
    <w:p>
      <w:pPr>
        <w:spacing w:after="0"/>
        <w:ind w:left="0"/>
        <w:jc w:val="both"/>
      </w:pPr>
      <w:r>
        <w:rPr>
          <w:rFonts w:ascii="Times New Roman"/>
          <w:b w:val="false"/>
          <w:i w:val="false"/>
          <w:color w:val="000000"/>
          <w:sz w:val="28"/>
        </w:rPr>
        <w:t>
      В этой связи будет продолжена работа по дальнейшей цифровизации налогового и таможенного администрирования.</w:t>
      </w:r>
    </w:p>
    <w:bookmarkEnd w:id="729"/>
    <w:bookmarkStart w:name="z731" w:id="730"/>
    <w:p>
      <w:pPr>
        <w:spacing w:after="0"/>
        <w:ind w:left="0"/>
        <w:jc w:val="both"/>
      </w:pPr>
      <w:r>
        <w:rPr>
          <w:rFonts w:ascii="Times New Roman"/>
          <w:b w:val="false"/>
          <w:i w:val="false"/>
          <w:color w:val="000000"/>
          <w:sz w:val="28"/>
        </w:rPr>
        <w:t>
      Автоматизация и цифровизация бюджетного процесса должны охватывать все четыре стадии: составление, рассмотрение, утверждение и исполнение бюджета.</w:t>
      </w:r>
    </w:p>
    <w:bookmarkEnd w:id="730"/>
    <w:bookmarkStart w:name="z732" w:id="731"/>
    <w:p>
      <w:pPr>
        <w:spacing w:after="0"/>
        <w:ind w:left="0"/>
        <w:jc w:val="both"/>
      </w:pPr>
      <w:r>
        <w:rPr>
          <w:rFonts w:ascii="Times New Roman"/>
          <w:b w:val="false"/>
          <w:i w:val="false"/>
          <w:color w:val="000000"/>
          <w:sz w:val="28"/>
        </w:rPr>
        <w:t>
      Автоматизация процесса бюджетного планирования должна сопровождаться обеспечением наличия натуральных норм по всем расходам бюджета текущего характера с ежегодной их инвентаризацией на предмет наличия, полноты и актуальности натуральных норм. При отсутствии натуральных норм уполномоченным органам соответствующих отраслей (сферы) необходимо принять меры по разработке и утверждению натуральных норм в установленном бюджетным законодательством порядке. Автоматизация и цифровизация бюджетного процесса должны осуществляться с учетом интеграции с государственными базами данных.</w:t>
      </w:r>
    </w:p>
    <w:bookmarkEnd w:id="731"/>
    <w:bookmarkStart w:name="z733" w:id="732"/>
    <w:p>
      <w:pPr>
        <w:spacing w:after="0"/>
        <w:ind w:left="0"/>
        <w:jc w:val="both"/>
      </w:pPr>
      <w:r>
        <w:rPr>
          <w:rFonts w:ascii="Times New Roman"/>
          <w:b w:val="false"/>
          <w:i w:val="false"/>
          <w:color w:val="000000"/>
          <w:sz w:val="28"/>
        </w:rPr>
        <w:t>
      Автоматизация бюджетного процесса должна сопровождаться обеспечением автоматизации и цифровизации процесса государственных закупок и итогов аудита, а также их интеграции с бюджетным процессом.</w:t>
      </w:r>
    </w:p>
    <w:bookmarkEnd w:id="732"/>
    <w:bookmarkStart w:name="z734" w:id="733"/>
    <w:p>
      <w:pPr>
        <w:spacing w:after="0"/>
        <w:ind w:left="0"/>
        <w:jc w:val="both"/>
      </w:pPr>
      <w:r>
        <w:rPr>
          <w:rFonts w:ascii="Times New Roman"/>
          <w:b w:val="false"/>
          <w:i w:val="false"/>
          <w:color w:val="000000"/>
          <w:sz w:val="28"/>
        </w:rPr>
        <w:t>
      Задача по доработке информационной системы по повышению эффективности расходования государственных денег за счет мониторинга всех получателей государственной поддержки требует утверждения специальной методики оценки эффективности мер государственной поддержки.</w:t>
      </w:r>
    </w:p>
    <w:bookmarkEnd w:id="733"/>
    <w:bookmarkStart w:name="z735" w:id="734"/>
    <w:p>
      <w:pPr>
        <w:spacing w:after="0"/>
        <w:ind w:left="0"/>
        <w:jc w:val="both"/>
      </w:pPr>
      <w:r>
        <w:rPr>
          <w:rFonts w:ascii="Times New Roman"/>
          <w:b w:val="false"/>
          <w:i w:val="false"/>
          <w:color w:val="000000"/>
          <w:sz w:val="28"/>
        </w:rPr>
        <w:t>
      В целях усиления контроля за эффективностью государственных расходов необходимо проведение бюджетного мониторинга в режиме онлайн.</w:t>
      </w:r>
    </w:p>
    <w:bookmarkEnd w:id="734"/>
    <w:bookmarkStart w:name="z736" w:id="735"/>
    <w:p>
      <w:pPr>
        <w:spacing w:after="0"/>
        <w:ind w:left="0"/>
        <w:jc w:val="both"/>
      </w:pPr>
      <w:r>
        <w:rPr>
          <w:rFonts w:ascii="Times New Roman"/>
          <w:b w:val="false"/>
          <w:i w:val="false"/>
          <w:color w:val="000000"/>
          <w:sz w:val="28"/>
        </w:rPr>
        <w:t>
      Проведение бюджетного мониторинга в режиме онлайн заключается в отслеживании бюджетного процесса на всех его этапах (планирование, закупки, исполнение и аудит) с использованием информационных систем.</w:t>
      </w:r>
    </w:p>
    <w:bookmarkEnd w:id="735"/>
    <w:bookmarkStart w:name="z737" w:id="736"/>
    <w:p>
      <w:pPr>
        <w:spacing w:after="0"/>
        <w:ind w:left="0"/>
        <w:jc w:val="both"/>
      </w:pPr>
      <w:r>
        <w:rPr>
          <w:rFonts w:ascii="Times New Roman"/>
          <w:b w:val="false"/>
          <w:i w:val="false"/>
          <w:color w:val="000000"/>
          <w:sz w:val="28"/>
        </w:rPr>
        <w:t>
      Данный механизм позволит своевременно реагировать и принимать действенные управленческие решения, в том числе в продуктивном распределении ресурсов в разрезе регионов.</w:t>
      </w:r>
    </w:p>
    <w:bookmarkEnd w:id="736"/>
    <w:bookmarkStart w:name="z738" w:id="737"/>
    <w:p>
      <w:pPr>
        <w:spacing w:after="0"/>
        <w:ind w:left="0"/>
        <w:jc w:val="both"/>
      </w:pPr>
      <w:r>
        <w:rPr>
          <w:rFonts w:ascii="Times New Roman"/>
          <w:b w:val="false"/>
          <w:i w:val="false"/>
          <w:color w:val="000000"/>
          <w:sz w:val="28"/>
        </w:rPr>
        <w:t>
      Внедрение бюджетного мониторинга также будет "сигнализировать" о рисках несоответствия целевых индикаторов (план/факт) для принятия мер реагирования по аналогии существующей практике "камерального контроля", который дал ощутимый эффект в части пресечения нарушений при проведении процедур государственных закупок и подведении итогов до заключения договора с поставщиками.</w:t>
      </w:r>
    </w:p>
    <w:bookmarkEnd w:id="737"/>
    <w:bookmarkStart w:name="z739" w:id="738"/>
    <w:p>
      <w:pPr>
        <w:spacing w:after="0"/>
        <w:ind w:left="0"/>
        <w:jc w:val="both"/>
      </w:pPr>
      <w:r>
        <w:rPr>
          <w:rFonts w:ascii="Times New Roman"/>
          <w:b w:val="false"/>
          <w:i w:val="false"/>
          <w:color w:val="000000"/>
          <w:sz w:val="28"/>
        </w:rPr>
        <w:t>
      Мониторинг будет осуществляться через интеграцию действующих информационных систем "е-Минфин", "Информационная система государственного планирования", "Автоматизированная интегрированная информационная система "Электронные государственные закупки", "Интегрированная информационная система налогового администрирования" и другие системы государственных органов.</w:t>
      </w:r>
    </w:p>
    <w:bookmarkEnd w:id="738"/>
    <w:bookmarkStart w:name="z740" w:id="739"/>
    <w:p>
      <w:pPr>
        <w:spacing w:after="0"/>
        <w:ind w:left="0"/>
        <w:jc w:val="both"/>
      </w:pPr>
      <w:r>
        <w:rPr>
          <w:rFonts w:ascii="Times New Roman"/>
          <w:b w:val="false"/>
          <w:i w:val="false"/>
          <w:color w:val="000000"/>
          <w:sz w:val="28"/>
        </w:rPr>
        <w:t>
      Будет создана единая цифровая база данных по бюджетным инвестициям и проектам ГЧП.</w:t>
      </w:r>
    </w:p>
    <w:bookmarkEnd w:id="739"/>
    <w:bookmarkStart w:name="z741" w:id="740"/>
    <w:p>
      <w:pPr>
        <w:spacing w:after="0"/>
        <w:ind w:left="0"/>
        <w:jc w:val="both"/>
      </w:pPr>
      <w:r>
        <w:rPr>
          <w:rFonts w:ascii="Times New Roman"/>
          <w:b w:val="false"/>
          <w:i w:val="false"/>
          <w:color w:val="000000"/>
          <w:sz w:val="28"/>
        </w:rPr>
        <w:t>
      Важной задачей является повышение эффективности бюджетного планирования через автоматизацию и цифровизацию всего процесса. Разработанный проект "Бюджет народного участия" позволяет гражданам инициировать проектные предложения и проводить голосование по распределению части средств местного бюджета.</w:t>
      </w:r>
    </w:p>
    <w:bookmarkEnd w:id="740"/>
    <w:bookmarkStart w:name="z742" w:id="741"/>
    <w:p>
      <w:pPr>
        <w:spacing w:after="0"/>
        <w:ind w:left="0"/>
        <w:jc w:val="left"/>
      </w:pPr>
      <w:r>
        <w:rPr>
          <w:rFonts w:ascii="Times New Roman"/>
          <w:b/>
          <w:i w:val="false"/>
          <w:color w:val="000000"/>
        </w:rPr>
        <w:t xml:space="preserve"> Раздел 6.</w:t>
      </w:r>
      <w:r>
        <w:br/>
      </w:r>
      <w:r>
        <w:rPr>
          <w:rFonts w:ascii="Times New Roman"/>
          <w:b/>
          <w:i w:val="false"/>
          <w:color w:val="000000"/>
        </w:rPr>
        <w:t>Целевые индикаторы и ожидаемые результаты</w:t>
      </w:r>
    </w:p>
    <w:bookmarkEnd w:id="741"/>
    <w:bookmarkStart w:name="z743" w:id="742"/>
    <w:p>
      <w:pPr>
        <w:spacing w:after="0"/>
        <w:ind w:left="0"/>
        <w:jc w:val="both"/>
      </w:pPr>
      <w:r>
        <w:rPr>
          <w:rFonts w:ascii="Times New Roman"/>
          <w:b w:val="false"/>
          <w:i w:val="false"/>
          <w:color w:val="000000"/>
          <w:sz w:val="28"/>
        </w:rPr>
        <w:t>
      Целевые индикаторы:</w:t>
      </w:r>
    </w:p>
    <w:bookmarkEnd w:id="742"/>
    <w:bookmarkStart w:name="z744" w:id="743"/>
    <w:p>
      <w:pPr>
        <w:spacing w:after="0"/>
        <w:ind w:left="0"/>
        <w:jc w:val="both"/>
      </w:pPr>
      <w:r>
        <w:rPr>
          <w:rFonts w:ascii="Times New Roman"/>
          <w:b w:val="false"/>
          <w:i w:val="false"/>
          <w:color w:val="000000"/>
          <w:sz w:val="28"/>
        </w:rPr>
        <w:t>
      снижение ненефтяного дефицита с 9,8 % в 2021 году до уровня не выше 5,0 % к ВВП в 2030 году;</w:t>
      </w:r>
    </w:p>
    <w:bookmarkEnd w:id="743"/>
    <w:bookmarkStart w:name="z745" w:id="744"/>
    <w:p>
      <w:pPr>
        <w:spacing w:after="0"/>
        <w:ind w:left="0"/>
        <w:jc w:val="both"/>
      </w:pPr>
      <w:r>
        <w:rPr>
          <w:rFonts w:ascii="Times New Roman"/>
          <w:b w:val="false"/>
          <w:i w:val="false"/>
          <w:color w:val="000000"/>
          <w:sz w:val="28"/>
        </w:rPr>
        <w:t>
      снижение дефицита бюджета с 3,1 % в 2021 году до уровня не выше 2,0 % к ВВП в 2030 году;</w:t>
      </w:r>
    </w:p>
    <w:bookmarkEnd w:id="744"/>
    <w:bookmarkStart w:name="z746" w:id="745"/>
    <w:p>
      <w:pPr>
        <w:spacing w:after="0"/>
        <w:ind w:left="0"/>
        <w:jc w:val="both"/>
      </w:pPr>
      <w:r>
        <w:rPr>
          <w:rFonts w:ascii="Times New Roman"/>
          <w:b w:val="false"/>
          <w:i w:val="false"/>
          <w:color w:val="000000"/>
          <w:sz w:val="28"/>
        </w:rPr>
        <w:t>
      сохранение государственного долга с 27,4 % в 2021 году до уровня не выше 32,0 % к ВВП - в 2030 году, в том числе долга Правительства с 23,0 % в 2021 году до уровня не выше 27,5 % к ВВП в 2030 году.</w:t>
      </w:r>
    </w:p>
    <w:bookmarkEnd w:id="745"/>
    <w:bookmarkStart w:name="z747" w:id="746"/>
    <w:p>
      <w:pPr>
        <w:spacing w:after="0"/>
        <w:ind w:left="0"/>
        <w:jc w:val="both"/>
      </w:pPr>
      <w:r>
        <w:rPr>
          <w:rFonts w:ascii="Times New Roman"/>
          <w:b w:val="false"/>
          <w:i w:val="false"/>
          <w:color w:val="000000"/>
          <w:sz w:val="28"/>
        </w:rPr>
        <w:t>
      Ожидаемые результаты:</w:t>
      </w:r>
    </w:p>
    <w:bookmarkEnd w:id="746"/>
    <w:bookmarkStart w:name="z748" w:id="747"/>
    <w:p>
      <w:pPr>
        <w:spacing w:after="0"/>
        <w:ind w:left="0"/>
        <w:jc w:val="both"/>
      </w:pPr>
      <w:r>
        <w:rPr>
          <w:rFonts w:ascii="Times New Roman"/>
          <w:b w:val="false"/>
          <w:i w:val="false"/>
          <w:color w:val="000000"/>
          <w:sz w:val="28"/>
        </w:rPr>
        <w:t>
      увеличение валютных активов НФРК до 100,0 млрд долларов США в 2030 году;</w:t>
      </w:r>
    </w:p>
    <w:bookmarkEnd w:id="747"/>
    <w:bookmarkStart w:name="z749" w:id="748"/>
    <w:p>
      <w:pPr>
        <w:spacing w:after="0"/>
        <w:ind w:left="0"/>
        <w:jc w:val="both"/>
      </w:pPr>
      <w:r>
        <w:rPr>
          <w:rFonts w:ascii="Times New Roman"/>
          <w:b w:val="false"/>
          <w:i w:val="false"/>
          <w:color w:val="000000"/>
          <w:sz w:val="28"/>
        </w:rPr>
        <w:t>
      чистые внешние активы (отношение внешнего долга Правительства, гарантированного долга и внешнего долга квазигоссектора к валютным активам НФРК) - 0,75;</w:t>
      </w:r>
    </w:p>
    <w:bookmarkEnd w:id="748"/>
    <w:bookmarkStart w:name="z750" w:id="749"/>
    <w:p>
      <w:pPr>
        <w:spacing w:after="0"/>
        <w:ind w:left="0"/>
        <w:jc w:val="both"/>
      </w:pPr>
      <w:r>
        <w:rPr>
          <w:rFonts w:ascii="Times New Roman"/>
          <w:b w:val="false"/>
          <w:i w:val="false"/>
          <w:color w:val="000000"/>
          <w:sz w:val="28"/>
        </w:rPr>
        <w:t>
      обслуживание правительственного долга из республиканского бюджета - на уровне не более 10 % расходов бюджета;</w:t>
      </w:r>
    </w:p>
    <w:bookmarkEnd w:id="749"/>
    <w:bookmarkStart w:name="z751" w:id="750"/>
    <w:p>
      <w:pPr>
        <w:spacing w:after="0"/>
        <w:ind w:left="0"/>
        <w:jc w:val="both"/>
      </w:pPr>
      <w:r>
        <w:rPr>
          <w:rFonts w:ascii="Times New Roman"/>
          <w:b w:val="false"/>
          <w:i w:val="false"/>
          <w:color w:val="000000"/>
          <w:sz w:val="28"/>
        </w:rPr>
        <w:t>
      увеличение доходов государственного бюджета без учета трансфертов до 18 % к ВВП в 2030 году.</w:t>
      </w:r>
    </w:p>
    <w:bookmarkEnd w:id="750"/>
    <w:bookmarkStart w:name="z752" w:id="751"/>
    <w:p>
      <w:pPr>
        <w:spacing w:after="0"/>
        <w:ind w:left="0"/>
        <w:jc w:val="both"/>
      </w:pPr>
      <w:r>
        <w:rPr>
          <w:rFonts w:ascii="Times New Roman"/>
          <w:b w:val="false"/>
          <w:i w:val="false"/>
          <w:color w:val="000000"/>
          <w:sz w:val="28"/>
        </w:rPr>
        <w:t>
      Мероприятия по реализации Концепции будут осуществлены согласно Плану действий по реализации Концепции управления государственными финансами Республики Казахстан до 2030 года согласно приложению к настоящей Концепции.</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управления</w:t>
            </w:r>
            <w:r>
              <w:br/>
            </w:r>
            <w:r>
              <w:rPr>
                <w:rFonts w:ascii="Times New Roman"/>
                <w:b w:val="false"/>
                <w:i w:val="false"/>
                <w:color w:val="000000"/>
                <w:sz w:val="20"/>
              </w:rPr>
              <w:t>государственными финансами</w:t>
            </w:r>
            <w:r>
              <w:br/>
            </w:r>
            <w:r>
              <w:rPr>
                <w:rFonts w:ascii="Times New Roman"/>
                <w:b w:val="false"/>
                <w:i w:val="false"/>
                <w:color w:val="000000"/>
                <w:sz w:val="20"/>
              </w:rPr>
              <w:t xml:space="preserve">Республики Казахстан до 2030 </w:t>
            </w:r>
            <w:r>
              <w:br/>
            </w:r>
            <w:r>
              <w:rPr>
                <w:rFonts w:ascii="Times New Roman"/>
                <w:b w:val="false"/>
                <w:i w:val="false"/>
                <w:color w:val="000000"/>
                <w:sz w:val="20"/>
              </w:rPr>
              <w:t>года</w:t>
            </w:r>
            <w:r>
              <w:br/>
            </w:r>
            <w:r>
              <w:rPr>
                <w:rFonts w:ascii="Times New Roman"/>
                <w:b w:val="false"/>
                <w:i w:val="false"/>
                <w:color w:val="000000"/>
                <w:sz w:val="20"/>
              </w:rPr>
              <w:t>от 10 сентября 2022 года № 1005</w:t>
            </w:r>
          </w:p>
        </w:tc>
      </w:tr>
    </w:tbl>
    <w:bookmarkStart w:name="z754" w:id="752"/>
    <w:p>
      <w:pPr>
        <w:spacing w:after="0"/>
        <w:ind w:left="0"/>
        <w:jc w:val="left"/>
      </w:pPr>
      <w:r>
        <w:rPr>
          <w:rFonts w:ascii="Times New Roman"/>
          <w:b/>
          <w:i w:val="false"/>
          <w:color w:val="000000"/>
        </w:rPr>
        <w:t xml:space="preserve"> План действий по реализации Концепции управления государственными финансами Республики Казахстан до 2030 года</w:t>
      </w:r>
    </w:p>
    <w:bookmarkEnd w:id="752"/>
    <w:p>
      <w:pPr>
        <w:spacing w:after="0"/>
        <w:ind w:left="0"/>
        <w:jc w:val="both"/>
      </w:pPr>
      <w:r>
        <w:rPr>
          <w:rFonts w:ascii="Times New Roman"/>
          <w:b w:val="false"/>
          <w:i w:val="false"/>
          <w:color w:val="ff0000"/>
          <w:sz w:val="28"/>
        </w:rPr>
        <w:t xml:space="preserve">
      Сноска. План с изменениями, внесенными Указом Президента РК от 26.11.2022 </w:t>
      </w:r>
      <w:r>
        <w:rPr>
          <w:rFonts w:ascii="Times New Roman"/>
          <w:b w:val="false"/>
          <w:i w:val="false"/>
          <w:color w:val="ff0000"/>
          <w:sz w:val="28"/>
        </w:rPr>
        <w:t>№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Политика формирования и использования средств НФРК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Снижение ненефтяного дефицита в 2030 году до 5,0 % к ВВП, в том числе по годам: до 6,5 % к ВВП в 2022 году; 6,4 % к ВВП в 2023 году; 6,1 % к ВВП в 2024 году; 6,0 % к ВВП в 2025 году; &lt;5,9 % к ВВП в 2026 году; &lt;5,9 % к ВВП в 2027 году; &lt;5,5 % к ВВП в 2028 году; &lt;5,5 % к ВВП в 2029 году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4 июня 2018 года № 323 "Об утверждении Правил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Национальный фонд Республики Казахстан" в части обеспечения полноты поступлений в Национальный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НБ (по согласованию),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Концепции по управлению активами НФРК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Указа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распоряжение Президента Республики Казахстан от 18 апреля 2014 года № 281 "О Комиссии по мониторингу за расходованием средств, выделенных из Национального фонда Республики Казахстан" в части закрепления функции по контролю за целевым, законным и эффективным использованием средств, выделенных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МНЭ, МФ, 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53"/>
          <w:p>
            <w:pPr>
              <w:spacing w:after="20"/>
              <w:ind w:left="20"/>
              <w:jc w:val="both"/>
            </w:pPr>
            <w:r>
              <w:rPr>
                <w:rFonts w:ascii="Times New Roman"/>
                <w:b w:val="false"/>
                <w:i w:val="false"/>
                <w:color w:val="000000"/>
                <w:sz w:val="20"/>
              </w:rPr>
              <w:t>
Рассмотрение на Совете по управлению Национальным фондом Республики Казахстан вопросов:</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формирования Перечня организаций нефтяного сектора;</w:t>
            </w:r>
          </w:p>
          <w:p>
            <w:pPr>
              <w:spacing w:after="20"/>
              <w:ind w:left="20"/>
              <w:jc w:val="both"/>
            </w:pPr>
            <w:r>
              <w:rPr>
                <w:rFonts w:ascii="Times New Roman"/>
                <w:b w:val="false"/>
                <w:i w:val="false"/>
                <w:color w:val="000000"/>
                <w:sz w:val="20"/>
              </w:rPr>
              <w:t>
разработки регламентированной методики по включению организаций нефтяного сектора в Перечень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СУНФ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4"/>
          <w:p>
            <w:pPr>
              <w:spacing w:after="20"/>
              <w:ind w:left="20"/>
              <w:jc w:val="both"/>
            </w:pPr>
            <w:r>
              <w:rPr>
                <w:rFonts w:ascii="Times New Roman"/>
                <w:b w:val="false"/>
                <w:i w:val="false"/>
                <w:color w:val="000000"/>
                <w:sz w:val="20"/>
              </w:rPr>
              <w:t>
МНЭ, МФ, МЭ, НБ</w:t>
            </w:r>
          </w:p>
          <w:bookmarkEnd w:id="754"/>
          <w:p>
            <w:pPr>
              <w:spacing w:after="20"/>
              <w:ind w:left="20"/>
              <w:jc w:val="both"/>
            </w:pPr>
            <w:r>
              <w:rPr>
                <w:rFonts w:ascii="Times New Roman"/>
                <w:b w:val="false"/>
                <w:i w:val="false"/>
                <w:color w:val="000000"/>
                <w:sz w:val="20"/>
              </w:rPr>
              <w:t>
МФ, МЭ, МНЭ, НБ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5"/>
          <w:p>
            <w:pPr>
              <w:spacing w:after="20"/>
              <w:ind w:left="20"/>
              <w:jc w:val="both"/>
            </w:pPr>
            <w:r>
              <w:rPr>
                <w:rFonts w:ascii="Times New Roman"/>
                <w:b w:val="false"/>
                <w:i w:val="false"/>
                <w:color w:val="000000"/>
                <w:sz w:val="20"/>
              </w:rPr>
              <w:t>
2. Налогово-бюджетная политика</w:t>
            </w:r>
          </w:p>
          <w:bookmarkEnd w:id="755"/>
          <w:p>
            <w:pPr>
              <w:spacing w:after="20"/>
              <w:ind w:left="20"/>
              <w:jc w:val="both"/>
            </w:pPr>
            <w:r>
              <w:rPr>
                <w:rFonts w:ascii="Times New Roman"/>
                <w:b w:val="false"/>
                <w:i w:val="false"/>
                <w:color w:val="000000"/>
                <w:sz w:val="20"/>
              </w:rPr>
              <w:t>
2.1. Определение набора бюджетных правил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Снижение дефицита бюджета до 2 % к ВВП в 2030 году в том числе по годам: до 3,3 % к ВВП в 2022 году; 3,1 % к ВВП в 2023 году; 2,9 % к ВВП в 2024 году; 2,7 % к ВВП в 2025 году; 2,5 % к ВВП в 2026 году; 2,3 % к ВВП в 2027 году; 2,1 % к ВВП в 2028 году; 2,1 % к ВВП в 2029 году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по внесению изменений в Бюджетный кодекс РК по бюджетным правилам, по целевому назначению гарантированных и целевых трансфертов, неснижаемому остатку НФРК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применению моделей прогноза долгосрочной бюджетной устойчивости      при составлении аналитического отчета о бюджетных рисках и долгосрочной устойчивости государственных финансов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2022 - 2026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6"/>
          <w:p>
            <w:pPr>
              <w:spacing w:after="20"/>
              <w:ind w:left="20"/>
              <w:jc w:val="both"/>
            </w:pPr>
            <w:r>
              <w:rPr>
                <w:rFonts w:ascii="Times New Roman"/>
                <w:b w:val="false"/>
                <w:i w:val="false"/>
                <w:color w:val="000000"/>
                <w:sz w:val="20"/>
              </w:rPr>
              <w:t>
Правительство, МНЭ,</w:t>
            </w:r>
          </w:p>
          <w:bookmarkEnd w:id="756"/>
          <w:p>
            <w:pPr>
              <w:spacing w:after="20"/>
              <w:ind w:left="20"/>
              <w:jc w:val="both"/>
            </w:pPr>
            <w:r>
              <w:rPr>
                <w:rFonts w:ascii="Times New Roman"/>
                <w:b w:val="false"/>
                <w:i w:val="false"/>
                <w:color w:val="000000"/>
                <w:sz w:val="20"/>
              </w:rPr>
              <w:t>
АО "ИЭИ"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аналитического отчета о бюджетных рисках и долгосрочной устойчивости государственных финансов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сентября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АО "ИЭИ"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перечня бюджетных коэффициентов в составе аналитического отчета о бюджетных рисках и долгосрочной устойчивости государственных финансов с охватом коэффициентов по макроэкономической устойчивости, устойчивости бюджета и экономического роста, а также сохранению активов Национального фонда и эффективности политики финансовой децентрализации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"Перечень бюджетных коэффициентов" аналитического отчета о бюджетных рисках и долгосрочной устойчивости государственных финансов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сентября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АО "ИЭИ"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приказы Министра финансов      Республики Казахстан от 1 августа 2017 года № 468 "Об утверждении форм и правил составления и представления финансовой отчетности", от 6 декабря 2016 года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в части принятия мер по обеспечению раскрытия в годовой финансовой отчетности государственных гарантий и условных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2.2.Укрепление доходной части бюджета (налоговая политика)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по отмене неэффективных налоговых льгот, расширению налоговой базы, усилению мер администрирования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Повышение эффективности и экономической отдачи бюджетных расходов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7"/>
          <w:p>
            <w:pPr>
              <w:spacing w:after="20"/>
              <w:ind w:left="20"/>
              <w:jc w:val="both"/>
            </w:pPr>
            <w:r>
              <w:rPr>
                <w:rFonts w:ascii="Times New Roman"/>
                <w:b w:val="false"/>
                <w:i w:val="false"/>
                <w:color w:val="000000"/>
                <w:sz w:val="20"/>
              </w:rPr>
              <w:t>
Разработка проекта закона по внесению изменений и дополнений в некоторые законодательные акты, предусматривающего:</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элементов блочного механизма планирования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анализа и оценки социально-экономического эффекта государственных расходов на стадии планирования бюджета и по итогам исполнения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распространение механизма предварительной оценки проекта бюджета на местные бюджеты и на процедуру уточнения бюджетов;</w:t>
            </w:r>
          </w:p>
          <w:p>
            <w:pPr>
              <w:spacing w:after="20"/>
              <w:ind w:left="20"/>
              <w:jc w:val="both"/>
            </w:pPr>
            <w:r>
              <w:rPr>
                <w:rFonts w:ascii="Times New Roman"/>
                <w:b w:val="false"/>
                <w:i w:val="false"/>
                <w:color w:val="000000"/>
                <w:sz w:val="20"/>
              </w:rPr>
              <w:t>
отражение в годовом отчете Правительства об исполнении республиканского бюджета информации о фактических поступлениях и расходах Государственного фонда социального страхования и Фонда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повышению ответственности администраторов бюджетных программ за неэффективное планирование и использование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комплексного плана мер по развитию человеческих ресурсов в сфере стратегического и бюджетного планирования в целях усиления аналитической составляющей в их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совместного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МНЭ, МФ, заинтересованные ГО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национальной экономики Республики Казахстан от 26 ноября 2015 года № 731 "Об утверждении Методики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 в части обновления методики определения лимитов государственных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в части усиления мониторинга реализации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оптимизации документов, участвующих в процессе планирования бюджетных инвестиций и бюджетного кредитования (в том числе разработка новых подходов по планированию государственных инвестиционных проектов, совершенствование законодательства в сфере государственных инвестиционных проектов и интегрированные с ними проекты НПА)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развитию институциональной среды и методологии ГЧП (в том числе проведение мероприятий по анализу барьеров и возможностей для развития ГЧП, выработка рекомендаций по формированию "конструктора" договорных (контрактных) условий по некоторым отраслям и видам ГЧП и внедрению его на портале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касательно конкретизации видов затрат, возмещаемых инвестору (КИЗ, КОЗ ВЗУ, софинансирование,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Бюджетный кодекс, предусматривающего: регламентацию норм по совершенствованию      деятельности органов казначейства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8"/>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некоторые законодательные акты, предусматривающего: обеспечение поэтапного перехода на консолидированную финансовую отчетность страны, составленную в соответствии с международными стандартами; совершенствование организации внутреннего государственного финансового контроля</w:t>
            </w:r>
          </w:p>
          <w:bookmarkEnd w:id="7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МИОР, ВАП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внедрению обзора бюджетных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ВАП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национальной экономики Республики Казахстан от 11 декабря 2014 года № 139 "Об утверждении методики расчетов трансфертов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управления государственным имуществом" в части совершенствования классификации государственного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ВАП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электронный формат через веб-портал реестра государственного имущества www.gosreestr.kz публичных торгов на предоставление земель, прав недропользования, радиочастотного спектра и других активов государства, включая исключительные права государства на оперирование различными объектами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ИУЦ (по согласованию),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постановление Правительства Республики Казахстан от 29 декабря 2020 года № 908 "О некоторых вопросах приватизации на 2021-2025 годы" в части актуализации перечня объектов Комплексного плана приватизации на 2021-2025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АЗРК, МФ, МЭ, акиматы городов Нур-Султана, Алматы, Шымкента, Самрук-Казына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наличия натуральных норм по всем расходам бюджета текущего характера с ежегодной их инвентаризацией на предмет наличия, полноты и актуальности натуральных норм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Политика управления государственным долгом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9"/>
          <w:p>
            <w:pPr>
              <w:spacing w:after="20"/>
              <w:ind w:left="20"/>
              <w:jc w:val="both"/>
            </w:pPr>
            <w:r>
              <w:rPr>
                <w:rFonts w:ascii="Times New Roman"/>
                <w:b w:val="false"/>
                <w:i w:val="false"/>
                <w:color w:val="000000"/>
                <w:sz w:val="20"/>
              </w:rPr>
              <w:t>
Целевой индикатор 3. Сохранение государственного долга в 2030 году не выше 32,0 % к ВВП, в том числе долга Правительства - не выше 27,5 % к ВВП, долга квазигосударственного сектора - 21,2 % к ВВП:</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государственный долг не выше 24,5 % к ВВП в 2022 году; 25,4 % к ВВП в 2023 году; 26,3 % к ВВП в 2024 году; 27,2 % к ВВП в 2025 году; 28,1 % к ВВП в 2026 году; 29,0 % к ВВП в 2027 году; 29,9 % к ВВП в 2028 году; 30,8 % к ВВП в 2029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долг Правительства не выше 20,8 % к ВВП в 2022 году; 21,6 % к ВВП в 2023 году; 22,4 % к ВВП в 2024 году; 23,2 % к ВВП в 2025 году; 24,0 % к ВВП в 2026 году; 24,8 % к ВВП в 2027 году; 25,6 % к ВВП в 2028 году; 26,4 % к ВВП в 2029 году;</w:t>
            </w:r>
          </w:p>
          <w:p>
            <w:pPr>
              <w:spacing w:after="20"/>
              <w:ind w:left="20"/>
              <w:jc w:val="both"/>
            </w:pPr>
            <w:r>
              <w:rPr>
                <w:rFonts w:ascii="Times New Roman"/>
                <w:b w:val="false"/>
                <w:i w:val="false"/>
                <w:color w:val="000000"/>
                <w:sz w:val="20"/>
              </w:rPr>
              <w:t>
- долг квазигосударственного сектора - 21,2 % к ВВП в 2022 году; 21,2 % к ВВП в 2023 году; 21,2 % к ВВП в 2024 году; 21,2 % к ВВП в 2025 году; 21,2 % к ВВП в 2026 году; 21,2 % к ВВП в 2027 году; 21,2 % к ВВП в 2028 году; 21,2 % к ВВП в 2029 году.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Бюджетный кодекс, предусматривающих исключение долга НБ из структуры государственного долга, совершенствование требований к предоставлению государственных гарантий, пересмотра подходов по определению лимитов долга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9 июня 2014 года № 632 "О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 предусматривающих расширение его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заинтересованные ГО, заинтересованные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15 июня 2009 года № 906 "Об утверждении Правил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 предусматривающих пересмотр подходов по определению лимитов долга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заинтересованные ГО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постановление Правительства Республики Казахстан от 20 апреля 2018 года № 210 "Об утверждении Правил мониторинга и контроля за внешними и внутренними займами квазигосударственного сектора", предусматривающих мониторинг долга всех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при МНЭ по вопросам определения предельного объема внешнего долга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предельного объема внешнего долга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декабря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"предупредительных" ковенантов по правительственному долгу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СЭП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вопроса по управлению государственным долгом на Совет по экономической политике в случае прогнозирования превышения установленных ковенантов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СЭП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заинтересованные ГО и/или организации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 заимствования преимущественно на внутреннем рынке. В случае выхода на внешние рынки капитала в первую очередь рассмотреть инструменты финансирования в тенге с учетом приемлемого уровня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НБ, АРРФР,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регулярного анализа ситуации на внешних рынках капитала для рассмотрения альтернативных вариантов выпуска еврооблигаций в национальной валюте либо в иных валютах при отсутствии достаточной ликвидности на внутреннем рынке и благоприятной конъюнктуры внешнего рынка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НБ, АРРФР,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постановление Правительства от 28 декабря 2015 года № 1100 "О некоторых вопросах Министерства национальной экономики Республики Казахстан", предусматривающих компетенцию МНЭ по анализу и прогнозированию государственного долга и долга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долговых рисков, в том числе совершенствование инструментария оценки с применением макрофискального стресс-тестирования для оценки устойчивости государственных финансов в отношении экстремальных макроэкономических шоков, а также проведение анализа по воздействию различных макроэкономических факторов на внутренний и внешний долг страны в рамках формирования аналитического отчета о бюджетных рисках и долгосрочной устойчивости государственных финансов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МНЭ, МФ, НБ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 прозрачности и открытости бюджетного процесса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0"/>
          <w:p>
            <w:pPr>
              <w:spacing w:after="20"/>
              <w:ind w:left="20"/>
              <w:jc w:val="both"/>
            </w:pPr>
            <w:r>
              <w:rPr>
                <w:rFonts w:ascii="Times New Roman"/>
                <w:b w:val="false"/>
                <w:i w:val="false"/>
                <w:color w:val="000000"/>
                <w:sz w:val="20"/>
              </w:rPr>
              <w:t>
Комплексное совершенствование системы оценки результатов по: улучшению применимости результатов оценки при принятии решений в бюджетном планировании; синхронизации сроков формирования заключений по итогам оценки с процессами формирования бюджета и принятия решений по распределению ресурсов;</w:t>
            </w:r>
          </w:p>
          <w:bookmarkEnd w:id="760"/>
          <w:p>
            <w:pPr>
              <w:spacing w:after="20"/>
              <w:ind w:left="20"/>
              <w:jc w:val="both"/>
            </w:pPr>
            <w:r>
              <w:rPr>
                <w:rFonts w:ascii="Times New Roman"/>
                <w:b w:val="false"/>
                <w:i w:val="false"/>
                <w:color w:val="000000"/>
                <w:sz w:val="20"/>
              </w:rPr>
              <w:t xml:space="preserve">
обеспечению доступности для гражданского общества и представительным органам результатов оценки эффективности деятельности государственных органов, управления государственным имуществом, реализации бюджетных инвестиций; включению результатов оценок в состав заключений к отчету об исполнении республиканского и местных бюджетов, представляемых в Парламент и маслихаты, а также их размещению на интернет-ресурсах государственных органов; включению результатов оценки реализации бюджетных инвестиций и проектов ГЧП, направленных на реализацию инфраструктурных проектов (строительство, реконструкция, модернизация), достижения целей планов развития во взаимосвязи с реализацией бюджетных программ и бюджетными средствами в состав годового аналитического отчета по расходам бюджета, представляемого в Парламент и маслихаты с обязательным его размещением на интернет-ресурсах государственных органов; обеспечению обсуждения результатов оценок эффективности управления государственным имуществом на заседаниях общественных советов, в Парламенте и маслихатах при обсуждении вопросов о выделении из бюджета средств субъектам квазигосударственного сектора и включения их в состав информации о республиканском и местном бюджетах; включению в оценку результатов рекомендации по повышению результативности и эффективности бюджетных средств и активов государства, а также по эффективному распределению ресурсов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АСПР (по согласованию),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составе материалов к проекту закона о республиканском бюджете на трехлетний период прогноза поступлений и расходов Государственного фонда социального страхования и Фонда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составе ПСЭР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сентября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МИЭ, М3,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1"/>
          <w:p>
            <w:pPr>
              <w:spacing w:after="20"/>
              <w:ind w:left="20"/>
              <w:jc w:val="both"/>
            </w:pPr>
            <w:r>
              <w:rPr>
                <w:rFonts w:ascii="Times New Roman"/>
                <w:b w:val="false"/>
                <w:i w:val="false"/>
                <w:color w:val="000000"/>
                <w:sz w:val="20"/>
              </w:rPr>
              <w:t>
Повышение открытости бюджетного процесса, предусматривающего:</w:t>
            </w:r>
          </w:p>
          <w:bookmarkEnd w:id="761"/>
          <w:p>
            <w:pPr>
              <w:spacing w:after="20"/>
              <w:ind w:left="20"/>
              <w:jc w:val="both"/>
            </w:pPr>
            <w:r>
              <w:rPr>
                <w:rFonts w:ascii="Times New Roman"/>
                <w:b w:val="false"/>
                <w:i w:val="false"/>
                <w:color w:val="000000"/>
                <w:sz w:val="20"/>
              </w:rPr>
              <w:t>
вовлечение в него институтов гражданского общества; совершенствование процедур общественного контроля; усиление обратной связи с общественностью с предоставлением возможности влияния на решения по использованию бюджетных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МИОР, МНЭ, МФ, ВАП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2"/>
          <w:p>
            <w:pPr>
              <w:spacing w:after="20"/>
              <w:ind w:left="20"/>
              <w:jc w:val="both"/>
            </w:pPr>
            <w:r>
              <w:rPr>
                <w:rFonts w:ascii="Times New Roman"/>
                <w:b w:val="false"/>
                <w:i w:val="false"/>
                <w:color w:val="000000"/>
                <w:sz w:val="20"/>
              </w:rPr>
              <w:t>
Улучшение работы онлайн-портала "Открытые бюджеты":</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единого формата представления бюджетной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четкое наименование и структурирование бюджетной информации для граждан на портале "Открытые бюджеты"; изложение (размещение) в логической последовательности и категорирование информации;</w:t>
            </w:r>
          </w:p>
          <w:p>
            <w:pPr>
              <w:spacing w:after="20"/>
              <w:ind w:left="20"/>
              <w:jc w:val="both"/>
            </w:pPr>
            <w:r>
              <w:rPr>
                <w:rFonts w:ascii="Times New Roman"/>
                <w:b w:val="false"/>
                <w:i w:val="false"/>
                <w:color w:val="000000"/>
                <w:sz w:val="20"/>
              </w:rPr>
              <w:t>
улучшение инструментов поиска нужной информации на портале "Открытые бюджеты"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совершенствованный функционал портала "Открытые бюджеты"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МЦРИАП, МФ,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интерактивных форм предоставления бюджетных материалов, аналитической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совершенствованный функционал портала "Открытые бюджеты"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МЦРИАП, МФ,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по внесению изменений в Бюджетный кодекс, предусматривающего гармонизацию классификации операций сектора государственного управления с требованиями международных стандартов по статистике государственных финансов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мобильных приложений и/или сервисов с использованием открытых материалов интернет-портала "Открытые бюджеты"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МЦРИАП, МФ,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сервиса "Бюджет народного участия" ЕПИР ГО с мобильным приложением "EgovMobile"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МЦРИАП, МФ,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функции по получению сводной и детальной информации по сервису "Бюджет народного участия" на ЕПИР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совершенствованный функционал сервиса "Бюджет народного участия" на ЕПИР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МЦРИАП, МФ, заинтересованные ГО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3"/>
          <w:p>
            <w:pPr>
              <w:spacing w:after="20"/>
              <w:ind w:left="20"/>
              <w:jc w:val="both"/>
            </w:pPr>
            <w:r>
              <w:rPr>
                <w:rFonts w:ascii="Times New Roman"/>
                <w:b w:val="false"/>
                <w:i w:val="false"/>
                <w:color w:val="000000"/>
                <w:sz w:val="20"/>
              </w:rPr>
              <w:t>
Внесение изменений в приказ Министра финансов Республики Казахстан от 9 января 2018 года № 15 "Об утверждении Правил составления и представления гражданского бюджета на стадиях бюджетного планирования и исполнения бюджетов" в части:</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включения информации об источниках и направлениях использования национальных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аналитической информации по исполнению бюджета, в том числе о проводимой бюджетной политике и ее реализации;</w:t>
            </w:r>
          </w:p>
          <w:p>
            <w:pPr>
              <w:spacing w:after="20"/>
              <w:ind w:left="20"/>
              <w:jc w:val="both"/>
            </w:pPr>
            <w:r>
              <w:rPr>
                <w:rFonts w:ascii="Times New Roman"/>
                <w:b w:val="false"/>
                <w:i w:val="false"/>
                <w:color w:val="000000"/>
                <w:sz w:val="20"/>
              </w:rPr>
              <w:t>
детализированных данных согласно бюджетной классификации на всех этапах бюджетного процесса, по государственному долгу на полугодовой и годовой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МНЭ, заинтересованные 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Автоматизация и цифровизация бюджетного процесса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"Онлайн-бюджетного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 в части подсистемы бюджетного планирования в модуле ГИП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 модуля "Государственные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информационной системы государственного планирования (бюджетного планирования) в связи с внедрением блочного бюджетирования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"Единой информационной системы бухгалтерского учета в государственных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МФ, заинтересованные 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4"/>
          <w:p>
            <w:pPr>
              <w:spacing w:after="20"/>
              <w:ind w:left="20"/>
              <w:jc w:val="both"/>
            </w:pPr>
            <w:r>
              <w:rPr>
                <w:rFonts w:ascii="Times New Roman"/>
                <w:b w:val="false"/>
                <w:i w:val="false"/>
                <w:color w:val="000000"/>
                <w:sz w:val="20"/>
              </w:rPr>
              <w:t>
Дальнейшая цифровизация налогового и таможенного администрирования в части: расширения функционала мобильного приложения "Е-Salyq Bussines";</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создания подсистемы онлайн-визуализации прослеживаемости товаров;</w:t>
            </w:r>
          </w:p>
          <w:p>
            <w:pPr>
              <w:spacing w:after="20"/>
              <w:ind w:left="20"/>
              <w:jc w:val="both"/>
            </w:pPr>
            <w:r>
              <w:rPr>
                <w:rFonts w:ascii="Times New Roman"/>
                <w:b w:val="false"/>
                <w:i w:val="false"/>
                <w:color w:val="000000"/>
                <w:sz w:val="20"/>
              </w:rPr>
              <w:t>
реализации ИС "Банкротство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p>
            <w:pPr>
              <w:spacing w:after="20"/>
              <w:ind w:left="20"/>
              <w:jc w:val="both"/>
            </w:pPr>
            <w:r>
              <w:rPr>
                <w:rFonts w:ascii="Times New Roman"/>
                <w:b w:val="false"/>
                <w:i w:val="false"/>
                <w:color w:val="000000"/>
                <w:sz w:val="20"/>
              </w:rPr>
              <w:t>июль 2023 года</w:t>
            </w:r>
          </w:p>
          <w:p>
            <w:pPr>
              <w:spacing w:after="20"/>
              <w:ind w:left="20"/>
              <w:jc w:val="both"/>
            </w:pPr>
            <w:r>
              <w:rPr>
                <w:rFonts w:ascii="Times New Roman"/>
                <w:b w:val="false"/>
                <w:i w:val="false"/>
                <w:color w:val="000000"/>
                <w:sz w:val="20"/>
              </w:rPr>
              <w:t>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 МЦРИАП</w:t>
            </w:r>
          </w:p>
        </w:tc>
      </w:tr>
    </w:tbl>
    <w:bookmarkStart w:name="z787" w:id="765"/>
    <w:p>
      <w:pPr>
        <w:spacing w:after="0"/>
        <w:ind w:left="0"/>
        <w:jc w:val="both"/>
      </w:pPr>
      <w:r>
        <w:rPr>
          <w:rFonts w:ascii="Times New Roman"/>
          <w:b w:val="false"/>
          <w:i w:val="false"/>
          <w:color w:val="000000"/>
          <w:sz w:val="28"/>
        </w:rPr>
        <w:t>
      Примечание: расшифровка аббревиатур:</w:t>
      </w:r>
    </w:p>
    <w:bookmarkEnd w:id="765"/>
    <w:bookmarkStart w:name="z788" w:id="766"/>
    <w:p>
      <w:pPr>
        <w:spacing w:after="0"/>
        <w:ind w:left="0"/>
        <w:jc w:val="both"/>
      </w:pPr>
      <w:r>
        <w:rPr>
          <w:rFonts w:ascii="Times New Roman"/>
          <w:b w:val="false"/>
          <w:i w:val="false"/>
          <w:color w:val="000000"/>
          <w:sz w:val="28"/>
        </w:rPr>
        <w:t>
      ИУЦ - акционерное общество "Информационно-учетный центр" Министерства финансов Республики Казахстан</w:t>
      </w:r>
    </w:p>
    <w:bookmarkEnd w:id="766"/>
    <w:bookmarkStart w:name="z789" w:id="767"/>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767"/>
    <w:bookmarkStart w:name="z790" w:id="768"/>
    <w:p>
      <w:pPr>
        <w:spacing w:after="0"/>
        <w:ind w:left="0"/>
        <w:jc w:val="both"/>
      </w:pPr>
      <w:r>
        <w:rPr>
          <w:rFonts w:ascii="Times New Roman"/>
          <w:b w:val="false"/>
          <w:i w:val="false"/>
          <w:color w:val="000000"/>
          <w:sz w:val="28"/>
        </w:rPr>
        <w:t>
      США - Соединенные Штаты Америки</w:t>
      </w:r>
    </w:p>
    <w:bookmarkEnd w:id="768"/>
    <w:bookmarkStart w:name="z791" w:id="769"/>
    <w:p>
      <w:pPr>
        <w:spacing w:after="0"/>
        <w:ind w:left="0"/>
        <w:jc w:val="both"/>
      </w:pPr>
      <w:r>
        <w:rPr>
          <w:rFonts w:ascii="Times New Roman"/>
          <w:b w:val="false"/>
          <w:i w:val="false"/>
          <w:color w:val="000000"/>
          <w:sz w:val="28"/>
        </w:rPr>
        <w:t>
      МФЦА - Международный финансовый центр "Астана"</w:t>
      </w:r>
    </w:p>
    <w:bookmarkEnd w:id="769"/>
    <w:bookmarkStart w:name="z792" w:id="770"/>
    <w:p>
      <w:pPr>
        <w:spacing w:after="0"/>
        <w:ind w:left="0"/>
        <w:jc w:val="both"/>
      </w:pPr>
      <w:r>
        <w:rPr>
          <w:rFonts w:ascii="Times New Roman"/>
          <w:b w:val="false"/>
          <w:i w:val="false"/>
          <w:color w:val="000000"/>
          <w:sz w:val="28"/>
        </w:rPr>
        <w:t>
      ПСЭР - Прогноз социально-экономического развития</w:t>
      </w:r>
    </w:p>
    <w:bookmarkEnd w:id="770"/>
    <w:bookmarkStart w:name="z793" w:id="771"/>
    <w:p>
      <w:pPr>
        <w:spacing w:after="0"/>
        <w:ind w:left="0"/>
        <w:jc w:val="both"/>
      </w:pPr>
      <w:r>
        <w:rPr>
          <w:rFonts w:ascii="Times New Roman"/>
          <w:b w:val="false"/>
          <w:i w:val="false"/>
          <w:color w:val="000000"/>
          <w:sz w:val="28"/>
        </w:rPr>
        <w:t>
      СМИ - средства массовой информации</w:t>
      </w:r>
    </w:p>
    <w:bookmarkEnd w:id="771"/>
    <w:bookmarkStart w:name="z794" w:id="772"/>
    <w:p>
      <w:pPr>
        <w:spacing w:after="0"/>
        <w:ind w:left="0"/>
        <w:jc w:val="both"/>
      </w:pPr>
      <w:r>
        <w:rPr>
          <w:rFonts w:ascii="Times New Roman"/>
          <w:b w:val="false"/>
          <w:i w:val="false"/>
          <w:color w:val="000000"/>
          <w:sz w:val="28"/>
        </w:rPr>
        <w:t>
      ВЗУ - вознаграждение за осуществление управления</w:t>
      </w:r>
    </w:p>
    <w:bookmarkEnd w:id="772"/>
    <w:bookmarkStart w:name="z795" w:id="773"/>
    <w:p>
      <w:pPr>
        <w:spacing w:after="0"/>
        <w:ind w:left="0"/>
        <w:jc w:val="both"/>
      </w:pPr>
      <w:r>
        <w:rPr>
          <w:rFonts w:ascii="Times New Roman"/>
          <w:b w:val="false"/>
          <w:i w:val="false"/>
          <w:color w:val="000000"/>
          <w:sz w:val="28"/>
        </w:rPr>
        <w:t>
      "ЕИС БУ" - "Единая информационная система бухгалтерского учета в государственных учреждениях"</w:t>
      </w:r>
    </w:p>
    <w:bookmarkEnd w:id="773"/>
    <w:bookmarkStart w:name="z796" w:id="774"/>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774"/>
    <w:bookmarkStart w:name="z797" w:id="775"/>
    <w:p>
      <w:pPr>
        <w:spacing w:after="0"/>
        <w:ind w:left="0"/>
        <w:jc w:val="both"/>
      </w:pPr>
      <w:r>
        <w:rPr>
          <w:rFonts w:ascii="Times New Roman"/>
          <w:b w:val="false"/>
          <w:i w:val="false"/>
          <w:color w:val="000000"/>
          <w:sz w:val="28"/>
        </w:rPr>
        <w:t>
      ЕКС - единый казначейский счет</w:t>
      </w:r>
    </w:p>
    <w:bookmarkEnd w:id="775"/>
    <w:bookmarkStart w:name="z798" w:id="776"/>
    <w:p>
      <w:pPr>
        <w:spacing w:after="0"/>
        <w:ind w:left="0"/>
        <w:jc w:val="both"/>
      </w:pPr>
      <w:r>
        <w:rPr>
          <w:rFonts w:ascii="Times New Roman"/>
          <w:b w:val="false"/>
          <w:i w:val="false"/>
          <w:color w:val="000000"/>
          <w:sz w:val="28"/>
        </w:rPr>
        <w:t>
      ОБР - отчет о бюджетных рисках</w:t>
      </w:r>
    </w:p>
    <w:bookmarkEnd w:id="776"/>
    <w:bookmarkStart w:name="z799" w:id="777"/>
    <w:p>
      <w:pPr>
        <w:spacing w:after="0"/>
        <w:ind w:left="0"/>
        <w:jc w:val="both"/>
      </w:pPr>
      <w:r>
        <w:rPr>
          <w:rFonts w:ascii="Times New Roman"/>
          <w:b w:val="false"/>
          <w:i w:val="false"/>
          <w:color w:val="000000"/>
          <w:sz w:val="28"/>
        </w:rPr>
        <w:t>
      Бюджетный кодекс -       Бюджетный кодекс Республики Казахстан</w:t>
      </w:r>
    </w:p>
    <w:bookmarkEnd w:id="7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Концепция бюджетной политики - Концепция новой бюджетной политики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М3 - Министерство здравоохранения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ЕАЭС - Евразийский экономический союз</w:t>
      </w:r>
      <w:r>
        <w:br/>
      </w:r>
      <w:r>
        <w:rPr>
          <w:rFonts w:ascii="Times New Roman"/>
          <w:b w:val="false"/>
          <w:i w:val="false"/>
          <w:color w:val="000000"/>
          <w:sz w:val="28"/>
        </w:rPr>
        <w:t xml:space="preserve">
      </w:t>
      </w:r>
      <w:r>
        <w:rPr>
          <w:rFonts w:ascii="Times New Roman"/>
          <w:b w:val="false"/>
          <w:i w:val="false"/>
          <w:color w:val="000000"/>
          <w:sz w:val="28"/>
        </w:rPr>
        <w:t>ЕС - Европейский Совет</w:t>
      </w:r>
      <w:r>
        <w:br/>
      </w:r>
      <w:r>
        <w:rPr>
          <w:rFonts w:ascii="Times New Roman"/>
          <w:b w:val="false"/>
          <w:i w:val="false"/>
          <w:color w:val="000000"/>
          <w:sz w:val="28"/>
        </w:rPr>
        <w:t xml:space="preserve">
      </w:t>
      </w:r>
      <w:r>
        <w:rPr>
          <w:rFonts w:ascii="Times New Roman"/>
          <w:b w:val="false"/>
          <w:i w:val="false"/>
          <w:color w:val="000000"/>
          <w:sz w:val="28"/>
        </w:rPr>
        <w:t>ВАП – Высшая аудиторская палата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ЕЭК - Евразийская экономическая комиссия</w:t>
      </w:r>
      <w:r>
        <w:br/>
      </w:r>
      <w:r>
        <w:rPr>
          <w:rFonts w:ascii="Times New Roman"/>
          <w:b w:val="false"/>
          <w:i w:val="false"/>
          <w:color w:val="000000"/>
          <w:sz w:val="28"/>
        </w:rPr>
        <w:t xml:space="preserve">
      </w:t>
      </w:r>
      <w:r>
        <w:rPr>
          <w:rFonts w:ascii="Times New Roman"/>
          <w:b w:val="false"/>
          <w:i w:val="false"/>
          <w:color w:val="000000"/>
          <w:sz w:val="28"/>
        </w:rPr>
        <w:t>МТСЗН - Министерство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МИО - местные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ПСД - проектно-сметные документы</w:t>
      </w:r>
      <w:r>
        <w:br/>
      </w:r>
      <w:r>
        <w:rPr>
          <w:rFonts w:ascii="Times New Roman"/>
          <w:b w:val="false"/>
          <w:i w:val="false"/>
          <w:color w:val="000000"/>
          <w:sz w:val="28"/>
        </w:rPr>
        <w:t xml:space="preserve">
      </w:t>
      </w:r>
      <w:r>
        <w:rPr>
          <w:rFonts w:ascii="Times New Roman"/>
          <w:b w:val="false"/>
          <w:i w:val="false"/>
          <w:color w:val="000000"/>
          <w:sz w:val="28"/>
        </w:rPr>
        <w:t>ВВП - внутренний валовой продукт</w:t>
      </w:r>
      <w:r>
        <w:br/>
      </w:r>
      <w:r>
        <w:rPr>
          <w:rFonts w:ascii="Times New Roman"/>
          <w:b w:val="false"/>
          <w:i w:val="false"/>
          <w:color w:val="000000"/>
          <w:sz w:val="28"/>
        </w:rPr>
        <w:t xml:space="preserve">
      </w:t>
      </w:r>
      <w:r>
        <w:rPr>
          <w:rFonts w:ascii="Times New Roman"/>
          <w:b w:val="false"/>
          <w:i w:val="false"/>
          <w:color w:val="000000"/>
          <w:sz w:val="28"/>
        </w:rPr>
        <w:t>КИЗ - компенсация инвестиционных затрат</w:t>
      </w:r>
      <w:r>
        <w:br/>
      </w:r>
      <w:r>
        <w:rPr>
          <w:rFonts w:ascii="Times New Roman"/>
          <w:b w:val="false"/>
          <w:i w:val="false"/>
          <w:color w:val="000000"/>
          <w:sz w:val="28"/>
        </w:rPr>
        <w:t xml:space="preserve">
      </w:t>
      </w:r>
      <w:r>
        <w:rPr>
          <w:rFonts w:ascii="Times New Roman"/>
          <w:b w:val="false"/>
          <w:i w:val="false"/>
          <w:color w:val="000000"/>
          <w:sz w:val="28"/>
        </w:rPr>
        <w:t>КПН - корпоративный подоходный налог</w:t>
      </w:r>
      <w:r>
        <w:br/>
      </w:r>
      <w:r>
        <w:rPr>
          <w:rFonts w:ascii="Times New Roman"/>
          <w:b w:val="false"/>
          <w:i w:val="false"/>
          <w:color w:val="000000"/>
          <w:sz w:val="28"/>
        </w:rPr>
        <w:t xml:space="preserve">
      </w:t>
      </w:r>
      <w:r>
        <w:rPr>
          <w:rFonts w:ascii="Times New Roman"/>
          <w:b w:val="false"/>
          <w:i w:val="false"/>
          <w:color w:val="000000"/>
          <w:sz w:val="28"/>
        </w:rPr>
        <w:t>КСН - контрольный счет наличности</w:t>
      </w:r>
      <w:r>
        <w:br/>
      </w:r>
      <w:r>
        <w:rPr>
          <w:rFonts w:ascii="Times New Roman"/>
          <w:b w:val="false"/>
          <w:i w:val="false"/>
          <w:color w:val="000000"/>
          <w:sz w:val="28"/>
        </w:rPr>
        <w:t xml:space="preserve">
      </w:t>
      </w:r>
      <w:r>
        <w:rPr>
          <w:rFonts w:ascii="Times New Roman"/>
          <w:b w:val="false"/>
          <w:i w:val="false"/>
          <w:color w:val="000000"/>
          <w:sz w:val="28"/>
        </w:rPr>
        <w:t>Казначейство -Комитет казначейства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АРРФР - Агентство Республики Казахстан по регулированию и развитию финансового рынка</w:t>
      </w:r>
      <w:r>
        <w:br/>
      </w:r>
      <w:r>
        <w:rPr>
          <w:rFonts w:ascii="Times New Roman"/>
          <w:b w:val="false"/>
          <w:i w:val="false"/>
          <w:color w:val="000000"/>
          <w:sz w:val="28"/>
        </w:rPr>
        <w:t xml:space="preserve">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НФРК - Национальный фонд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Концепция НФРК - Концепция формирования и использования средств Национального фонда Республики Казахстан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ГЦБ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 государственно-частном партнерстве"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государственного планирования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ЕПИРГО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интернет-ресурсов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ФНБ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"Самрук-Қазына"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стратегическому планированию и реформам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долгосрочной бюджетной устойчивости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по управлению Национальным фондом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Координационный совет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Координационный совет по реализации рамочных соглашений о партнерстве между Правительством Республики Казахстан и международными финансовыми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"Институт экономических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по экономической политике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"ЭСФ"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"Электронные счета-фактуры"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сентября 2022 года № 1005 </w:t>
            </w:r>
          </w:p>
        </w:tc>
      </w:tr>
    </w:tbl>
    <w:bookmarkStart w:name="z820" w:id="77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 Президента</w:t>
      </w:r>
      <w:r>
        <w:br/>
      </w:r>
      <w:r>
        <w:rPr>
          <w:rFonts w:ascii="Times New Roman"/>
          <w:b/>
          <w:i w:val="false"/>
          <w:color w:val="000000"/>
        </w:rPr>
        <w:t>Республики Казахстан</w:t>
      </w:r>
    </w:p>
    <w:bookmarkEnd w:id="778"/>
    <w:bookmarkStart w:name="z821" w:id="7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июня 2013 года № 590 "Об утверждении Концепции новой бюджетной политики Республики Казахстан".</w:t>
      </w:r>
    </w:p>
    <w:bookmarkEnd w:id="779"/>
    <w:bookmarkStart w:name="z822" w:id="7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ноября 2014 года № 966 "О внесении изменений и дополнения в Указ Президента Республики Казахстан от 26 июня 2013 года № 590 "Об утверждении Концепции новой бюджетной политики Республики Казахстан" и признании утратившим силу Указа Президента Республики Казахстан от 29 декабря 2006 года № 234 "О Концепции по управлению государственным и валовым внешним долгом".</w:t>
      </w:r>
    </w:p>
    <w:bookmarkEnd w:id="780"/>
    <w:bookmarkStart w:name="z823" w:id="7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781"/>
    <w:bookmarkStart w:name="z824" w:id="7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сентября 2017 года № 552 "О внесении изменений в Указ Президента Республики Казахстан от 26 июня 2013 года № 590 "Об утверждении Концепции новой бюджетной политики Республики Казахстан".</w:t>
      </w:r>
    </w:p>
    <w:bookmarkEnd w:id="782"/>
    <w:bookmarkStart w:name="z825" w:id="7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июля 2018 года № 719 "О внесении изменений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783"/>
    <w:bookmarkStart w:name="z826" w:id="7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октября 2018 года № 780 "О внесении изменений в некоторые указы Президента Республики Казахстан".</w:t>
      </w:r>
    </w:p>
    <w:bookmarkEnd w:id="784"/>
    <w:bookmarkStart w:name="z827" w:id="7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2019 года № 21 "О внесении изменений в некоторые указы Президента Республики Казахстан".</w:t>
      </w:r>
    </w:p>
    <w:bookmarkEnd w:id="785"/>
    <w:bookmarkStart w:name="z828" w:id="7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августа 2019 года № 86 "О внесении изменения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786"/>
    <w:bookmarkStart w:name="z829" w:id="7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2019 года № 234 "О внесении изменения и дополнения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787"/>
    <w:bookmarkStart w:name="z830" w:id="7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декабря 2020 года № 474 "О внесении изменений и дополнения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788"/>
    <w:bookmarkStart w:name="z831" w:id="7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июня 2022 года № 936 "О внесении изменения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 </w:t>
      </w:r>
    </w:p>
    <w:bookmarkEnd w:id="7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