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d328" w14:textId="092d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17 декабря 2022 года № 57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к формированию политики управления государственными финансами":</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Политика формирования и использования средств Национального фонда Республики Казахстан":</w:t>
      </w:r>
    </w:p>
    <w:bookmarkEnd w:id="4"/>
    <w:bookmarkStart w:name="z9" w:id="5"/>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5"/>
    <w:bookmarkStart w:name="z10" w:id="6"/>
    <w:p>
      <w:pPr>
        <w:spacing w:after="0"/>
        <w:ind w:left="0"/>
        <w:jc w:val="both"/>
      </w:pPr>
      <w:r>
        <w:rPr>
          <w:rFonts w:ascii="Times New Roman"/>
          <w:b w:val="false"/>
          <w:i w:val="false"/>
          <w:color w:val="000000"/>
          <w:sz w:val="28"/>
        </w:rPr>
        <w:t>
      "транспарентность - направление средств НФРК в экономику страны только через республиканский бюджет, включая любые финансовые взаимоотношения между НФРК и субъектами квазигосударственного сектора, а также путем приобретения долговых ценных бумаг Фонда, эмитируемых для реализации стратегических инфраструктурных проектов, реализуемых по прямому поручению Главы государства, с информированием Парламента в составе отчета Правительства об исполнении республиканского бюджета;";</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"Использование средств НФРК":</w:t>
      </w:r>
    </w:p>
    <w:bookmarkEnd w:id="7"/>
    <w:bookmarkStart w:name="z12" w:id="8"/>
    <w:p>
      <w:pPr>
        <w:spacing w:after="0"/>
        <w:ind w:left="0"/>
        <w:jc w:val="both"/>
      </w:pPr>
      <w:r>
        <w:rPr>
          <w:rFonts w:ascii="Times New Roman"/>
          <w:b w:val="false"/>
          <w:i w:val="false"/>
          <w:color w:val="000000"/>
          <w:sz w:val="28"/>
        </w:rPr>
        <w:t>
      часть четвертую изложить в следующей редакции:</w:t>
      </w:r>
    </w:p>
    <w:bookmarkEnd w:id="8"/>
    <w:bookmarkStart w:name="z13" w:id="9"/>
    <w:p>
      <w:pPr>
        <w:spacing w:after="0"/>
        <w:ind w:left="0"/>
        <w:jc w:val="both"/>
      </w:pPr>
      <w:r>
        <w:rPr>
          <w:rFonts w:ascii="Times New Roman"/>
          <w:b w:val="false"/>
          <w:i w:val="false"/>
          <w:color w:val="000000"/>
          <w:sz w:val="28"/>
        </w:rPr>
        <w:t>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прямое кредитование юридических и физических лиц из НФРК, использование активов в качестве обеспечения исполнения обязательств запрещены, за исключением приобретения долговых ценных бумаг Фонда, эмитируемых для реализации стратегических инфраструктурных проектов, реализуемых по прямому поручению Главы государства.</w:t>
      </w:r>
    </w:p>
    <w:bookmarkEnd w:id="9"/>
    <w:bookmarkStart w:name="z14" w:id="10"/>
    <w:p>
      <w:pPr>
        <w:spacing w:after="0"/>
        <w:ind w:left="0"/>
        <w:jc w:val="both"/>
      </w:pPr>
      <w:r>
        <w:rPr>
          <w:rFonts w:ascii="Times New Roman"/>
          <w:b w:val="false"/>
          <w:i w:val="false"/>
          <w:color w:val="000000"/>
          <w:sz w:val="28"/>
        </w:rPr>
        <w:t>
      Средства от облигационных займов из НФРК должны быть использованы в строгом соответствии с целевым назначением, обусловленным в проспекте эмиссии облигации.</w:t>
      </w:r>
    </w:p>
    <w:bookmarkEnd w:id="10"/>
    <w:bookmarkStart w:name="z15" w:id="11"/>
    <w:p>
      <w:pPr>
        <w:spacing w:after="0"/>
        <w:ind w:left="0"/>
        <w:jc w:val="both"/>
      </w:pPr>
      <w:r>
        <w:rPr>
          <w:rFonts w:ascii="Times New Roman"/>
          <w:b w:val="false"/>
          <w:i w:val="false"/>
          <w:color w:val="000000"/>
          <w:sz w:val="28"/>
        </w:rPr>
        <w:t>
      Средства из НФРК в форме облигационных займов должны выделяться на следующих условиях:</w:t>
      </w:r>
    </w:p>
    <w:bookmarkEnd w:id="11"/>
    <w:bookmarkStart w:name="z16" w:id="12"/>
    <w:p>
      <w:pPr>
        <w:spacing w:after="0"/>
        <w:ind w:left="0"/>
        <w:jc w:val="both"/>
      </w:pPr>
      <w:r>
        <w:rPr>
          <w:rFonts w:ascii="Times New Roman"/>
          <w:b w:val="false"/>
          <w:i w:val="false"/>
          <w:color w:val="000000"/>
          <w:sz w:val="28"/>
        </w:rPr>
        <w:t>
      облигационные займы в национальной валюте - по ставке не ниже среднегодовой инфляции в РК за последние 10 лет согласно последним имеющимся данным по состоянию на конец последнего отчетного года;</w:t>
      </w:r>
    </w:p>
    <w:bookmarkEnd w:id="12"/>
    <w:bookmarkStart w:name="z17" w:id="13"/>
    <w:p>
      <w:pPr>
        <w:spacing w:after="0"/>
        <w:ind w:left="0"/>
        <w:jc w:val="both"/>
      </w:pPr>
      <w:r>
        <w:rPr>
          <w:rFonts w:ascii="Times New Roman"/>
          <w:b w:val="false"/>
          <w:i w:val="false"/>
          <w:color w:val="000000"/>
          <w:sz w:val="28"/>
        </w:rPr>
        <w:t>
      облигационные займы в долларах США - по ставке среднегодовой инвестиционной доходности активов НФРК за последние 10 лет согласно данным последнего квартального отчета по НФРК, утвержденного Правлением НБ, но не ниже совокупной доходности ГЦБ США по состоянию на конец предыдущего квартала с соответствующим сроком обращения;</w:t>
      </w:r>
    </w:p>
    <w:bookmarkEnd w:id="13"/>
    <w:bookmarkStart w:name="z18" w:id="14"/>
    <w:p>
      <w:pPr>
        <w:spacing w:after="0"/>
        <w:ind w:left="0"/>
        <w:jc w:val="both"/>
      </w:pPr>
      <w:r>
        <w:rPr>
          <w:rFonts w:ascii="Times New Roman"/>
          <w:b w:val="false"/>
          <w:i w:val="false"/>
          <w:color w:val="000000"/>
          <w:sz w:val="28"/>
        </w:rPr>
        <w:t>
      обязательство частичного и/или полного досрочного погашения займа после его использования по целевому назначению.</w:t>
      </w:r>
    </w:p>
    <w:bookmarkEnd w:id="14"/>
    <w:bookmarkStart w:name="z19" w:id="15"/>
    <w:p>
      <w:pPr>
        <w:spacing w:after="0"/>
        <w:ind w:left="0"/>
        <w:jc w:val="both"/>
      </w:pPr>
      <w:r>
        <w:rPr>
          <w:rFonts w:ascii="Times New Roman"/>
          <w:b w:val="false"/>
          <w:i w:val="false"/>
          <w:color w:val="000000"/>
          <w:sz w:val="28"/>
        </w:rPr>
        <w:t xml:space="preserve">
      Отражение в учете и отчетности НФРК долговых ценных бумаг субъектов квазигосударственного сектора осуществляется согласно международным стандартам финансовой отчетности по справедливой (рыночной) стоимости в момент первоначального признания.";   </w:t>
      </w:r>
    </w:p>
    <w:bookmarkEnd w:id="15"/>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"Ограничения по использованию НФРК":    </w:t>
      </w:r>
    </w:p>
    <w:bookmarkEnd w:id="16"/>
    <w:bookmarkStart w:name="z21" w:id="17"/>
    <w:p>
      <w:pPr>
        <w:spacing w:after="0"/>
        <w:ind w:left="0"/>
        <w:jc w:val="both"/>
      </w:pPr>
      <w:r>
        <w:rPr>
          <w:rFonts w:ascii="Times New Roman"/>
          <w:b w:val="false"/>
          <w:i w:val="false"/>
          <w:color w:val="000000"/>
          <w:sz w:val="28"/>
        </w:rPr>
        <w:t>
      часть третью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"Любое иное использование средств НФРК запрещено, включая инвестирование средств НФРК во внутренние финансовые инструменты казахстанских эмитентов, а также на финансирование/софинансирование текущих расходов государства за счет целевых трансфертов из НФРК, за исключением приобретения долговых ценных бумаг Фонда, эмитируемых для реализации стратегических инфраструктурных проектов, реализуемых по прямому поручению Главы государства.". </w:t>
      </w:r>
    </w:p>
    <w:bookmarkEnd w:id="18"/>
    <w:bookmarkStart w:name="z23" w:id="19"/>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