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5d5a" w14:textId="bb15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3 декабря 2013 года № 704 "Об утверждении Типового регламента маслихата"</w:t>
      </w:r>
    </w:p>
    <w:p>
      <w:pPr>
        <w:spacing w:after="0"/>
        <w:ind w:left="0"/>
        <w:jc w:val="both"/>
      </w:pPr>
      <w:r>
        <w:rPr>
          <w:rFonts w:ascii="Times New Roman"/>
          <w:b w:val="false"/>
          <w:i w:val="false"/>
          <w:color w:val="000000"/>
          <w:sz w:val="28"/>
        </w:rPr>
        <w:t>Указ Президента Республики Казахстан от 20 октября 2017 года № 566.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 в</w:t>
            </w:r>
            <w:r>
              <w:br/>
            </w:r>
            <w:r>
              <w:rPr>
                <w:rFonts w:ascii="Times New Roman"/>
                <w:b w:val="false"/>
                <w:i w:val="false"/>
                <w:color w:val="000000"/>
                <w:sz w:val="20"/>
              </w:rPr>
              <w:t>Собрании актов Президента и</w:t>
            </w:r>
            <w:r>
              <w:br/>
            </w:r>
            <w:r>
              <w:rPr>
                <w:rFonts w:ascii="Times New Roman"/>
                <w:b w:val="false"/>
                <w:i w:val="false"/>
                <w:color w:val="000000"/>
                <w:sz w:val="20"/>
              </w:rPr>
              <w:t>Правительства Республики Казахстан</w:t>
            </w:r>
          </w:p>
        </w:tc>
      </w:tr>
    </w:tbl>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(САПП Республики Казахстан, 2013 г., № 70, ст. 921)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2"/>
    <w:bookmarkStart w:name="z7" w:id="3"/>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3"/>
    <w:bookmarkStart w:name="z8" w:id="4"/>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End w:id="4"/>
    <w:bookmarkStart w:name="z9" w:id="5"/>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утверждаются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не позднее двухнедельного срока после подписания решения маслихата района (города областного значения) об утверждении районного (города областного значения) бюджета.".</w:t>
      </w:r>
    </w:p>
    <w:bookmarkEnd w:id="5"/>
    <w:bookmarkStart w:name="z10" w:id="6"/>
    <w:p>
      <w:pPr>
        <w:spacing w:after="0"/>
        <w:ind w:left="0"/>
        <w:jc w:val="both"/>
      </w:pPr>
      <w:r>
        <w:rPr>
          <w:rFonts w:ascii="Times New Roman"/>
          <w:b w:val="false"/>
          <w:i w:val="false"/>
          <w:color w:val="000000"/>
          <w:sz w:val="28"/>
        </w:rPr>
        <w:t>
      2. Настоящий Указ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