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19bd" w14:textId="7651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29 декабря 2016 года № 398. Утратил силу Указом Президента Республики Казахстан от 19 апреля 2019 года № 29.</w:t>
      </w:r>
    </w:p>
    <w:p>
      <w:pPr>
        <w:spacing w:after="0"/>
        <w:ind w:left="0"/>
        <w:jc w:val="both"/>
      </w:pPr>
      <w:r>
        <w:rPr>
          <w:rFonts w:ascii="Times New Roman"/>
          <w:b w:val="false"/>
          <w:i w:val="false"/>
          <w:color w:val="ff0000"/>
          <w:sz w:val="28"/>
        </w:rPr>
        <w:t xml:space="preserve">
      Сноска. Утратил силу Указом Президента РК от 19.04.2019 </w:t>
      </w:r>
      <w:r>
        <w:rPr>
          <w:rFonts w:ascii="Times New Roman"/>
          <w:b w:val="false"/>
          <w:i w:val="false"/>
          <w:color w:val="ff0000"/>
          <w:sz w:val="28"/>
        </w:rPr>
        <w:t>№ 29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2015 года № 1030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2015 г., № 18-19, ст. 93) следующие изменения:</w:t>
      </w:r>
    </w:p>
    <w:bookmarkEnd w:id="0"/>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инфраструктурного развития "Нұрлы жол" на 2015-2019 годы, утвержденной вышеназванным Указом:</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Паспорт Программы":</w:t>
      </w:r>
    </w:p>
    <w:bookmarkEnd w:id="2"/>
    <w:bookmarkStart w:name="z55" w:id="3"/>
    <w:p>
      <w:pPr>
        <w:spacing w:after="0"/>
        <w:ind w:left="0"/>
        <w:jc w:val="both"/>
      </w:pPr>
      <w:r>
        <w:rPr>
          <w:rFonts w:ascii="Times New Roman"/>
          <w:b w:val="false"/>
          <w:i w:val="false"/>
          <w:color w:val="000000"/>
          <w:sz w:val="28"/>
        </w:rPr>
        <w:t>
      в "Задачах" подпункт 5) исключить;</w:t>
      </w:r>
    </w:p>
    <w:bookmarkEnd w:id="3"/>
    <w:bookmarkStart w:name="z56" w:id="4"/>
    <w:p>
      <w:pPr>
        <w:spacing w:after="0"/>
        <w:ind w:left="0"/>
        <w:jc w:val="both"/>
      </w:pPr>
      <w:r>
        <w:rPr>
          <w:rFonts w:ascii="Times New Roman"/>
          <w:b w:val="false"/>
          <w:i w:val="false"/>
          <w:color w:val="000000"/>
          <w:sz w:val="28"/>
        </w:rPr>
        <w:t>
      в "Целевых индикаторах":</w:t>
      </w:r>
    </w:p>
    <w:bookmarkEnd w:id="4"/>
    <w:bookmarkStart w:name="z57" w:id="5"/>
    <w:p>
      <w:pPr>
        <w:spacing w:after="0"/>
        <w:ind w:left="0"/>
        <w:jc w:val="both"/>
      </w:pPr>
      <w:r>
        <w:rPr>
          <w:rFonts w:ascii="Times New Roman"/>
          <w:b w:val="false"/>
          <w:i w:val="false"/>
          <w:color w:val="000000"/>
          <w:sz w:val="28"/>
        </w:rPr>
        <w:t>
      подпункт 2) изложить в следующей редакции:</w:t>
      </w:r>
    </w:p>
    <w:bookmarkEnd w:id="5"/>
    <w:bookmarkStart w:name="z5" w:id="6"/>
    <w:p>
      <w:pPr>
        <w:spacing w:after="0"/>
        <w:ind w:left="0"/>
        <w:jc w:val="both"/>
      </w:pPr>
      <w:r>
        <w:rPr>
          <w:rFonts w:ascii="Times New Roman"/>
          <w:b w:val="false"/>
          <w:i w:val="false"/>
          <w:color w:val="000000"/>
          <w:sz w:val="28"/>
        </w:rPr>
        <w:t>
      "2) в 2015-2019 годах создание рабочих мест на 392,9 тыс. чел., в том числе: постоянных - 96,5 тыс. чел.; временных - 296,4 тыс. чел.;";</w:t>
      </w:r>
    </w:p>
    <w:bookmarkEnd w:id="6"/>
    <w:bookmarkStart w:name="z6" w:id="7"/>
    <w:p>
      <w:pPr>
        <w:spacing w:after="0"/>
        <w:ind w:left="0"/>
        <w:jc w:val="both"/>
      </w:pPr>
      <w:r>
        <w:rPr>
          <w:rFonts w:ascii="Times New Roman"/>
          <w:b w:val="false"/>
          <w:i w:val="false"/>
          <w:color w:val="000000"/>
          <w:sz w:val="28"/>
        </w:rPr>
        <w:t>
      "Источники и объемы финансирования" изложить в следующей редакции:</w:t>
      </w:r>
    </w:p>
    <w:bookmarkEnd w:id="7"/>
    <w:bookmarkStart w:name="z7" w:id="8"/>
    <w:p>
      <w:pPr>
        <w:spacing w:after="0"/>
        <w:ind w:left="0"/>
        <w:jc w:val="both"/>
      </w:pPr>
      <w:r>
        <w:rPr>
          <w:rFonts w:ascii="Times New Roman"/>
          <w:b w:val="false"/>
          <w:i w:val="false"/>
          <w:color w:val="000000"/>
          <w:sz w:val="28"/>
        </w:rPr>
        <w:t>
      "Источники и объемы финансирования</w:t>
      </w:r>
    </w:p>
    <w:bookmarkEnd w:id="8"/>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частных инвестиций на общую индикативную сумму 7,6 трлн. тенге, в том числе: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bookmarkStart w:name="z8" w:id="9"/>
          <w:p>
            <w:pPr>
              <w:spacing w:after="20"/>
              <w:ind w:left="20"/>
              <w:jc w:val="both"/>
            </w:pPr>
            <w:r>
              <w:rPr>
                <w:rFonts w:ascii="Times New Roman"/>
                <w:b w:val="false"/>
                <w:i w:val="false"/>
                <w:color w:val="000000"/>
                <w:sz w:val="20"/>
              </w:rPr>
              <w:t>
Источники финансирования</w:t>
            </w:r>
          </w:p>
          <w:bookmarkEnd w:id="9"/>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w:t>
            </w:r>
            <w:r>
              <w:br/>
            </w:r>
            <w:r>
              <w:rPr>
                <w:rFonts w:ascii="Times New Roman"/>
                <w:b w:val="false"/>
                <w:i w:val="false"/>
                <w:color w:val="000000"/>
                <w:sz w:val="20"/>
              </w:rPr>
              <w:t>(млрд. тенге)</w:t>
            </w:r>
          </w:p>
        </w:tc>
      </w:tr>
      <w:tr>
        <w:trPr>
          <w:trHeight w:val="30" w:hRule="atLeast"/>
        </w:trPr>
        <w:tc>
          <w:tcPr>
            <w:tcW w:w="4382" w:type="dxa"/>
            <w:tcBorders/>
            <w:tcMar>
              <w:top w:w="15" w:type="dxa"/>
              <w:left w:w="15" w:type="dxa"/>
              <w:bottom w:w="15" w:type="dxa"/>
              <w:right w:w="15" w:type="dxa"/>
            </w:tcMar>
            <w:vAlign w:val="center"/>
          </w:tcPr>
          <w:bookmarkStart w:name="z9" w:id="10"/>
          <w:p>
            <w:pPr>
              <w:spacing w:after="20"/>
              <w:ind w:left="20"/>
              <w:jc w:val="both"/>
            </w:pPr>
            <w:r>
              <w:rPr>
                <w:rFonts w:ascii="Times New Roman"/>
                <w:b w:val="false"/>
                <w:i w:val="false"/>
                <w:color w:val="000000"/>
                <w:sz w:val="20"/>
              </w:rPr>
              <w:t>
Всего расходы по программе:</w:t>
            </w:r>
          </w:p>
          <w:bookmarkEnd w:id="10"/>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382" w:type="dxa"/>
            <w:tcBorders/>
            <w:tcMar>
              <w:top w:w="15" w:type="dxa"/>
              <w:left w:w="15" w:type="dxa"/>
              <w:bottom w:w="15" w:type="dxa"/>
              <w:right w:w="15" w:type="dxa"/>
            </w:tcMar>
            <w:vAlign w:val="center"/>
          </w:tcPr>
          <w:bookmarkStart w:name="z10" w:id="11"/>
          <w:p>
            <w:pPr>
              <w:spacing w:after="20"/>
              <w:ind w:left="20"/>
              <w:jc w:val="both"/>
            </w:pPr>
            <w:r>
              <w:rPr>
                <w:rFonts w:ascii="Times New Roman"/>
                <w:b w:val="false"/>
                <w:i w:val="false"/>
                <w:color w:val="000000"/>
                <w:sz w:val="20"/>
              </w:rPr>
              <w:t>
Республиканский бюджет</w:t>
            </w:r>
          </w:p>
          <w:bookmarkEnd w:id="11"/>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bookmarkStart w:name="z11" w:id="12"/>
          <w:p>
            <w:pPr>
              <w:spacing w:after="20"/>
              <w:ind w:left="20"/>
              <w:jc w:val="both"/>
            </w:pPr>
            <w:r>
              <w:rPr>
                <w:rFonts w:ascii="Times New Roman"/>
                <w:b w:val="false"/>
                <w:i w:val="false"/>
                <w:color w:val="000000"/>
                <w:sz w:val="20"/>
              </w:rPr>
              <w:t>
Национальный фонд</w:t>
            </w:r>
          </w:p>
          <w:bookmarkEnd w:id="12"/>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bookmarkStart w:name="z12" w:id="13"/>
          <w:p>
            <w:pPr>
              <w:spacing w:after="20"/>
              <w:ind w:left="20"/>
              <w:jc w:val="both"/>
            </w:pPr>
            <w:r>
              <w:rPr>
                <w:rFonts w:ascii="Times New Roman"/>
                <w:b w:val="false"/>
                <w:i w:val="false"/>
                <w:color w:val="000000"/>
                <w:sz w:val="20"/>
              </w:rPr>
              <w:t>
Местный бюджет</w:t>
            </w:r>
          </w:p>
          <w:bookmarkEnd w:id="13"/>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bookmarkStart w:name="z13" w:id="14"/>
          <w:p>
            <w:pPr>
              <w:spacing w:after="20"/>
              <w:ind w:left="20"/>
              <w:jc w:val="both"/>
            </w:pPr>
            <w:r>
              <w:rPr>
                <w:rFonts w:ascii="Times New Roman"/>
                <w:b w:val="false"/>
                <w:i w:val="false"/>
                <w:color w:val="000000"/>
                <w:sz w:val="20"/>
              </w:rPr>
              <w:t>
Международные финансовые институты и организации</w:t>
            </w:r>
          </w:p>
          <w:bookmarkEnd w:id="14"/>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bookmarkStart w:name="z14" w:id="15"/>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bookmarkEnd w:id="15"/>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382" w:type="dxa"/>
            <w:tcBorders/>
            <w:tcMar>
              <w:top w:w="15" w:type="dxa"/>
              <w:left w:w="15" w:type="dxa"/>
              <w:bottom w:w="15" w:type="dxa"/>
              <w:right w:w="15" w:type="dxa"/>
            </w:tcMar>
            <w:vAlign w:val="center"/>
          </w:tcPr>
          <w:bookmarkStart w:name="z15" w:id="16"/>
          <w:p>
            <w:pPr>
              <w:spacing w:after="20"/>
              <w:ind w:left="20"/>
              <w:jc w:val="both"/>
            </w:pPr>
            <w:r>
              <w:rPr>
                <w:rFonts w:ascii="Times New Roman"/>
                <w:b w:val="false"/>
                <w:i w:val="false"/>
                <w:color w:val="000000"/>
                <w:sz w:val="20"/>
              </w:rPr>
              <w:t>
Частные инвестиции и ГЧП</w:t>
            </w:r>
          </w:p>
          <w:bookmarkEnd w:id="16"/>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bookmarkStart w:name="z1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Анализ текущей ситуации" части сто восемьдесят вторую, сто восемьдесят третью, сто восемьдесят четвертую, сто восемьдесят пятую, сто восемьдесят шестую, сто восемьдесят седьмую, сто восемьдесят восьмую, сто восемьдесят девятую, сто девяностую, сто девяносто первую, сто девяносто вторую, сто девяносто третью, сто девяносто четвертую, сто девяносто пятую, сто девяносто шестую, сто девяносто седьмую, сто девяносто восьмую, сто девяносто девятую, двухсотую, двести первую, двести вторую, двести третью исключить;</w:t>
      </w:r>
    </w:p>
    <w:bookmarkEnd w:id="17"/>
    <w:bookmarkStart w:name="z1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Цели, задачи, целевые индикаторы и показатели результатов реализации Программы":</w:t>
      </w:r>
    </w:p>
    <w:bookmarkEnd w:id="18"/>
    <w:bookmarkStart w:name="z18" w:id="19"/>
    <w:p>
      <w:pPr>
        <w:spacing w:after="0"/>
        <w:ind w:left="0"/>
        <w:jc w:val="both"/>
      </w:pPr>
      <w:r>
        <w:rPr>
          <w:rFonts w:ascii="Times New Roman"/>
          <w:b w:val="false"/>
          <w:i w:val="false"/>
          <w:color w:val="000000"/>
          <w:sz w:val="28"/>
        </w:rPr>
        <w:t>
      в части второй таблицу изложить в следующей редакции:</w:t>
      </w:r>
    </w:p>
    <w:bookmarkEnd w:id="19"/>
    <w:bookmarkStart w:name="z19"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247"/>
        <w:gridCol w:w="851"/>
        <w:gridCol w:w="3374"/>
        <w:gridCol w:w="1008"/>
        <w:gridCol w:w="1009"/>
        <w:gridCol w:w="1009"/>
        <w:gridCol w:w="1009"/>
        <w:gridCol w:w="1009"/>
        <w:gridCol w:w="100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1"/>
          <w:p>
            <w:pPr>
              <w:spacing w:after="20"/>
              <w:ind w:left="20"/>
              <w:jc w:val="both"/>
            </w:pPr>
            <w:r>
              <w:rPr>
                <w:rFonts w:ascii="Times New Roman"/>
                <w:b w:val="false"/>
                <w:i w:val="false"/>
                <w:color w:val="000000"/>
                <w:sz w:val="20"/>
              </w:rPr>
              <w:t>
Целевые индикаторы</w:t>
            </w:r>
          </w:p>
          <w:bookmarkEnd w:id="21"/>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(оценка)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2"/>
          <w:p>
            <w:pPr>
              <w:spacing w:after="20"/>
              <w:ind w:left="20"/>
              <w:jc w:val="both"/>
            </w:pPr>
            <w:r>
              <w:rPr>
                <w:rFonts w:ascii="Times New Roman"/>
                <w:b w:val="false"/>
                <w:i w:val="false"/>
                <w:color w:val="000000"/>
                <w:sz w:val="20"/>
              </w:rPr>
              <w:t>
Обеспечение прогнозируемого роста ВВП</w:t>
            </w:r>
          </w:p>
          <w:bookmarkEnd w:id="22"/>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"Самрук-Казына", АО "НУХ "Байтерек"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3"/>
          <w:p>
            <w:pPr>
              <w:spacing w:after="20"/>
              <w:ind w:left="20"/>
              <w:jc w:val="both"/>
            </w:pPr>
            <w:r>
              <w:rPr>
                <w:rFonts w:ascii="Times New Roman"/>
                <w:b w:val="false"/>
                <w:i w:val="false"/>
                <w:color w:val="000000"/>
                <w:sz w:val="20"/>
              </w:rPr>
              <w:t>
Эффект реализации сопрограммы "Нұрлы жол" на рост ВВП</w:t>
            </w:r>
          </w:p>
          <w:bookmarkEnd w:id="23"/>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процентных пунктах</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"Самрук-Казына", АО "НУХ "Байтерек"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4"/>
          <w:p>
            <w:pPr>
              <w:spacing w:after="20"/>
              <w:ind w:left="20"/>
              <w:jc w:val="both"/>
            </w:pPr>
            <w:r>
              <w:rPr>
                <w:rFonts w:ascii="Times New Roman"/>
                <w:b w:val="false"/>
                <w:i w:val="false"/>
                <w:color w:val="000000"/>
                <w:sz w:val="20"/>
              </w:rPr>
              <w:t>
Создание рабочих мест, в том числе:</w:t>
            </w:r>
          </w:p>
          <w:bookmarkEnd w:id="24"/>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МЗСР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(свод), МИР, МНЭ, МСХ, МЭ, МОН, АО "ФНБ "Самрук- Казына", АО "НУХ "Байтерек"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5"/>
          <w:p>
            <w:pPr>
              <w:spacing w:after="20"/>
              <w:ind w:left="20"/>
              <w:jc w:val="both"/>
            </w:pPr>
            <w:r>
              <w:rPr>
                <w:rFonts w:ascii="Times New Roman"/>
                <w:b w:val="false"/>
                <w:i w:val="false"/>
                <w:color w:val="000000"/>
                <w:sz w:val="20"/>
              </w:rPr>
              <w:t>
постоянных</w:t>
            </w:r>
          </w:p>
          <w:bookmarkEnd w:id="25"/>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6"/>
          <w:p>
            <w:pPr>
              <w:spacing w:after="20"/>
              <w:ind w:left="20"/>
              <w:jc w:val="both"/>
            </w:pPr>
            <w:r>
              <w:rPr>
                <w:rFonts w:ascii="Times New Roman"/>
                <w:b w:val="false"/>
                <w:i w:val="false"/>
                <w:color w:val="000000"/>
                <w:sz w:val="20"/>
              </w:rPr>
              <w:t>
временных</w:t>
            </w:r>
          </w:p>
          <w:bookmarkEnd w:id="26"/>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7"/>
          <w:p>
            <w:pPr>
              <w:spacing w:after="20"/>
              <w:ind w:left="20"/>
              <w:jc w:val="both"/>
            </w:pPr>
            <w:r>
              <w:rPr>
                <w:rFonts w:ascii="Times New Roman"/>
                <w:b w:val="false"/>
                <w:i w:val="false"/>
                <w:color w:val="000000"/>
                <w:sz w:val="20"/>
              </w:rPr>
              <w:t>
Повышение рейтинга ВЭФ по качеству базовой инфраструктуры</w:t>
            </w:r>
          </w:p>
          <w:bookmarkEnd w:id="27"/>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мире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8"/>
          <w:p>
            <w:pPr>
              <w:spacing w:after="20"/>
              <w:ind w:left="20"/>
              <w:jc w:val="both"/>
            </w:pPr>
            <w:r>
              <w:rPr>
                <w:rFonts w:ascii="Times New Roman"/>
                <w:b w:val="false"/>
                <w:i w:val="false"/>
                <w:color w:val="000000"/>
                <w:sz w:val="20"/>
              </w:rPr>
              <w:t>
Увеличение объема транзитных грузов по территории Республики Казахстан, в т.ч. железнодорожным и автомобильным видами транспорта</w:t>
            </w:r>
          </w:p>
          <w:bookmarkEnd w:id="28"/>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9"/>
          <w:p>
            <w:pPr>
              <w:spacing w:after="20"/>
              <w:ind w:left="20"/>
              <w:jc w:val="both"/>
            </w:pPr>
            <w:r>
              <w:rPr>
                <w:rFonts w:ascii="Times New Roman"/>
                <w:b w:val="false"/>
                <w:i w:val="false"/>
                <w:color w:val="000000"/>
                <w:sz w:val="20"/>
              </w:rPr>
              <w:t>
железнодорожным видом транспорта</w:t>
            </w:r>
          </w:p>
          <w:bookmarkEnd w:id="29"/>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30"/>
          <w:p>
            <w:pPr>
              <w:spacing w:after="20"/>
              <w:ind w:left="20"/>
              <w:jc w:val="both"/>
            </w:pPr>
            <w:r>
              <w:rPr>
                <w:rFonts w:ascii="Times New Roman"/>
                <w:b w:val="false"/>
                <w:i w:val="false"/>
                <w:color w:val="000000"/>
                <w:sz w:val="20"/>
              </w:rPr>
              <w:t>
автомобильным видом транспорта</w:t>
            </w:r>
          </w:p>
          <w:bookmarkEnd w:id="30"/>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31"/>
          <w:p>
            <w:pPr>
              <w:spacing w:after="20"/>
              <w:ind w:left="20"/>
              <w:jc w:val="both"/>
            </w:pPr>
            <w:r>
              <w:rPr>
                <w:rFonts w:ascii="Times New Roman"/>
                <w:b w:val="false"/>
                <w:i w:val="false"/>
                <w:color w:val="000000"/>
                <w:sz w:val="20"/>
              </w:rPr>
              <w:t>
водным видом транспорта</w:t>
            </w:r>
          </w:p>
          <w:bookmarkEnd w:id="31"/>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31" w:id="32"/>
    <w:p>
      <w:pPr>
        <w:spacing w:after="0"/>
        <w:ind w:left="0"/>
        <w:jc w:val="both"/>
      </w:pPr>
      <w:r>
        <w:rPr>
          <w:rFonts w:ascii="Times New Roman"/>
          <w:b w:val="false"/>
          <w:i w:val="false"/>
          <w:color w:val="000000"/>
          <w:sz w:val="28"/>
        </w:rPr>
        <w:t>
      ";</w:t>
      </w:r>
    </w:p>
    <w:bookmarkEnd w:id="32"/>
    <w:bookmarkStart w:name="z32" w:id="33"/>
    <w:p>
      <w:pPr>
        <w:spacing w:after="0"/>
        <w:ind w:left="0"/>
        <w:jc w:val="both"/>
      </w:pPr>
      <w:r>
        <w:rPr>
          <w:rFonts w:ascii="Times New Roman"/>
          <w:b w:val="false"/>
          <w:i w:val="false"/>
          <w:color w:val="000000"/>
          <w:sz w:val="28"/>
        </w:rPr>
        <w:t>
      пункт "5. Повышение доступности жилья для граждан" исключить;</w:t>
      </w:r>
    </w:p>
    <w:bookmarkEnd w:id="33"/>
    <w:bookmarkStart w:name="z33"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направления, пути достижения поставленных целей и соответствующие меры":</w:t>
      </w:r>
    </w:p>
    <w:bookmarkEnd w:id="34"/>
    <w:bookmarkStart w:name="z34" w:id="35"/>
    <w:p>
      <w:pPr>
        <w:spacing w:after="0"/>
        <w:ind w:left="0"/>
        <w:jc w:val="both"/>
      </w:pPr>
      <w:r>
        <w:rPr>
          <w:rFonts w:ascii="Times New Roman"/>
          <w:b w:val="false"/>
          <w:i w:val="false"/>
          <w:color w:val="000000"/>
          <w:sz w:val="28"/>
        </w:rPr>
        <w:t>
      подразделы "</w:t>
      </w:r>
      <w:r>
        <w:rPr>
          <w:rFonts w:ascii="Times New Roman"/>
          <w:b w:val="false"/>
          <w:i w:val="false"/>
          <w:color w:val="000000"/>
          <w:sz w:val="28"/>
        </w:rPr>
        <w:t>5.5. Укрепление жилищной инфраструктуры</w:t>
      </w:r>
      <w:r>
        <w:rPr>
          <w:rFonts w:ascii="Times New Roman"/>
          <w:b w:val="false"/>
          <w:i w:val="false"/>
          <w:color w:val="000000"/>
          <w:sz w:val="28"/>
        </w:rPr>
        <w:t>" и "</w:t>
      </w:r>
      <w:r>
        <w:rPr>
          <w:rFonts w:ascii="Times New Roman"/>
          <w:b w:val="false"/>
          <w:i w:val="false"/>
          <w:color w:val="000000"/>
          <w:sz w:val="28"/>
        </w:rPr>
        <w:t>5.12. Реализация начатых проектов кредитного жилья и защита долевых вкладов</w:t>
      </w:r>
      <w:r>
        <w:rPr>
          <w:rFonts w:ascii="Times New Roman"/>
          <w:b w:val="false"/>
          <w:i w:val="false"/>
          <w:color w:val="000000"/>
          <w:sz w:val="28"/>
        </w:rPr>
        <w:t>" исключить;</w:t>
      </w:r>
    </w:p>
    <w:bookmarkEnd w:id="35"/>
    <w:bookmarkStart w:name="z35"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раздела</w:t>
      </w:r>
      <w:r>
        <w:rPr>
          <w:rFonts w:ascii="Times New Roman"/>
          <w:b w:val="false"/>
          <w:i w:val="false"/>
          <w:color w:val="000000"/>
          <w:sz w:val="28"/>
        </w:rPr>
        <w:t xml:space="preserve"> "7. Необходимые ресурсы" изложить в следующей редакции:</w:t>
      </w:r>
    </w:p>
    <w:bookmarkEnd w:id="36"/>
    <w:bookmarkStart w:name="z36" w:id="37"/>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частных инвестиций на общую индикативную сумму 7,6 трлн. тенге, в том числе:</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bookmarkStart w:name="z37" w:id="38"/>
          <w:p>
            <w:pPr>
              <w:spacing w:after="20"/>
              <w:ind w:left="20"/>
              <w:jc w:val="both"/>
            </w:pPr>
            <w:r>
              <w:rPr>
                <w:rFonts w:ascii="Times New Roman"/>
                <w:b w:val="false"/>
                <w:i w:val="false"/>
                <w:color w:val="000000"/>
                <w:sz w:val="20"/>
              </w:rPr>
              <w:t>
Источники финансирования</w:t>
            </w:r>
          </w:p>
          <w:bookmarkEnd w:id="38"/>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w:t>
            </w:r>
            <w:r>
              <w:br/>
            </w:r>
            <w:r>
              <w:rPr>
                <w:rFonts w:ascii="Times New Roman"/>
                <w:b w:val="false"/>
                <w:i w:val="false"/>
                <w:color w:val="000000"/>
                <w:sz w:val="20"/>
              </w:rPr>
              <w:t>(млрд. тенге)</w:t>
            </w:r>
          </w:p>
        </w:tc>
      </w:tr>
      <w:tr>
        <w:trPr>
          <w:trHeight w:val="30" w:hRule="atLeast"/>
        </w:trPr>
        <w:tc>
          <w:tcPr>
            <w:tcW w:w="4382" w:type="dxa"/>
            <w:tcBorders/>
            <w:tcMar>
              <w:top w:w="15" w:type="dxa"/>
              <w:left w:w="15" w:type="dxa"/>
              <w:bottom w:w="15" w:type="dxa"/>
              <w:right w:w="15" w:type="dxa"/>
            </w:tcMar>
            <w:vAlign w:val="center"/>
          </w:tcPr>
          <w:bookmarkStart w:name="z38" w:id="39"/>
          <w:p>
            <w:pPr>
              <w:spacing w:after="20"/>
              <w:ind w:left="20"/>
              <w:jc w:val="both"/>
            </w:pPr>
            <w:r>
              <w:rPr>
                <w:rFonts w:ascii="Times New Roman"/>
                <w:b w:val="false"/>
                <w:i w:val="false"/>
                <w:color w:val="000000"/>
                <w:sz w:val="20"/>
              </w:rPr>
              <w:t>
Всего расходы по Программе:</w:t>
            </w:r>
          </w:p>
          <w:bookmarkEnd w:id="39"/>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382" w:type="dxa"/>
            <w:tcBorders/>
            <w:tcMar>
              <w:top w:w="15" w:type="dxa"/>
              <w:left w:w="15" w:type="dxa"/>
              <w:bottom w:w="15" w:type="dxa"/>
              <w:right w:w="15" w:type="dxa"/>
            </w:tcMar>
            <w:vAlign w:val="center"/>
          </w:tcPr>
          <w:bookmarkStart w:name="z39" w:id="40"/>
          <w:p>
            <w:pPr>
              <w:spacing w:after="20"/>
              <w:ind w:left="20"/>
              <w:jc w:val="both"/>
            </w:pPr>
            <w:r>
              <w:rPr>
                <w:rFonts w:ascii="Times New Roman"/>
                <w:b w:val="false"/>
                <w:i w:val="false"/>
                <w:color w:val="000000"/>
                <w:sz w:val="20"/>
              </w:rPr>
              <w:t>
Республиканский бюджет</w:t>
            </w:r>
          </w:p>
          <w:bookmarkEnd w:id="40"/>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bookmarkStart w:name="z40" w:id="41"/>
          <w:p>
            <w:pPr>
              <w:spacing w:after="20"/>
              <w:ind w:left="20"/>
              <w:jc w:val="both"/>
            </w:pPr>
            <w:r>
              <w:rPr>
                <w:rFonts w:ascii="Times New Roman"/>
                <w:b w:val="false"/>
                <w:i w:val="false"/>
                <w:color w:val="000000"/>
                <w:sz w:val="20"/>
              </w:rPr>
              <w:t>
Национальный фонд</w:t>
            </w:r>
          </w:p>
          <w:bookmarkEnd w:id="41"/>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bookmarkStart w:name="z41" w:id="42"/>
          <w:p>
            <w:pPr>
              <w:spacing w:after="20"/>
              <w:ind w:left="20"/>
              <w:jc w:val="both"/>
            </w:pPr>
            <w:r>
              <w:rPr>
                <w:rFonts w:ascii="Times New Roman"/>
                <w:b w:val="false"/>
                <w:i w:val="false"/>
                <w:color w:val="000000"/>
                <w:sz w:val="20"/>
              </w:rPr>
              <w:t>
Местный бюджет</w:t>
            </w:r>
          </w:p>
          <w:bookmarkEnd w:id="42"/>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bookmarkStart w:name="z42" w:id="43"/>
          <w:p>
            <w:pPr>
              <w:spacing w:after="20"/>
              <w:ind w:left="20"/>
              <w:jc w:val="both"/>
            </w:pPr>
            <w:r>
              <w:rPr>
                <w:rFonts w:ascii="Times New Roman"/>
                <w:b w:val="false"/>
                <w:i w:val="false"/>
                <w:color w:val="000000"/>
                <w:sz w:val="20"/>
              </w:rPr>
              <w:t>
Международные финансовые институты и организации</w:t>
            </w:r>
          </w:p>
          <w:bookmarkEnd w:id="43"/>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bookmarkStart w:name="z43" w:id="44"/>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bookmarkEnd w:id="44"/>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382" w:type="dxa"/>
            <w:tcBorders/>
            <w:tcMar>
              <w:top w:w="15" w:type="dxa"/>
              <w:left w:w="15" w:type="dxa"/>
              <w:bottom w:w="15" w:type="dxa"/>
              <w:right w:w="15" w:type="dxa"/>
            </w:tcMar>
            <w:vAlign w:val="center"/>
          </w:tcPr>
          <w:bookmarkStart w:name="z44" w:id="45"/>
          <w:p>
            <w:pPr>
              <w:spacing w:after="20"/>
              <w:ind w:left="20"/>
              <w:jc w:val="both"/>
            </w:pPr>
            <w:r>
              <w:rPr>
                <w:rFonts w:ascii="Times New Roman"/>
                <w:b w:val="false"/>
                <w:i w:val="false"/>
                <w:color w:val="000000"/>
                <w:sz w:val="20"/>
              </w:rPr>
              <w:t>
Частные инвестиции и ГЧП</w:t>
            </w:r>
          </w:p>
          <w:bookmarkEnd w:id="45"/>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bookmarkStart w:name="z45" w:id="46"/>
    <w:p>
      <w:pPr>
        <w:spacing w:after="0"/>
        <w:ind w:left="0"/>
        <w:jc w:val="both"/>
      </w:pPr>
      <w:r>
        <w:rPr>
          <w:rFonts w:ascii="Times New Roman"/>
          <w:b w:val="false"/>
          <w:i w:val="false"/>
          <w:color w:val="000000"/>
          <w:sz w:val="28"/>
        </w:rPr>
        <w:t>
      в "</w:t>
      </w:r>
      <w:r>
        <w:rPr>
          <w:rFonts w:ascii="Times New Roman"/>
          <w:b w:val="false"/>
          <w:i w:val="false"/>
          <w:color w:val="000000"/>
          <w:sz w:val="28"/>
        </w:rPr>
        <w:t>Расшифровке аббревиатур:</w:t>
      </w:r>
      <w:r>
        <w:rPr>
          <w:rFonts w:ascii="Times New Roman"/>
          <w:b w:val="false"/>
          <w:i w:val="false"/>
          <w:color w:val="000000"/>
          <w:sz w:val="28"/>
        </w:rPr>
        <w:t>":</w:t>
      </w:r>
    </w:p>
    <w:bookmarkEnd w:id="46"/>
    <w:bookmarkStart w:name="z46" w:id="47"/>
    <w:p>
      <w:pPr>
        <w:spacing w:after="0"/>
        <w:ind w:left="0"/>
        <w:jc w:val="both"/>
      </w:pPr>
      <w:r>
        <w:rPr>
          <w:rFonts w:ascii="Times New Roman"/>
          <w:b w:val="false"/>
          <w:i w:val="false"/>
          <w:color w:val="000000"/>
          <w:sz w:val="28"/>
        </w:rPr>
        <w:t>
      строки:</w:t>
      </w:r>
    </w:p>
    <w:bookmarkEnd w:id="47"/>
    <w:tbl>
      <w:tblPr>
        <w:tblW w:w="0" w:type="auto"/>
        <w:tblCellSpacing w:w="0" w:type="auto"/>
        <w:tblBorders>
          <w:top w:val="none"/>
          <w:left w:val="none"/>
          <w:bottom w:val="none"/>
          <w:right w:val="none"/>
          <w:insideH w:val="none"/>
          <w:insideV w:val="none"/>
        </w:tblBorders>
      </w:tblPr>
      <w:tblGrid>
        <w:gridCol w:w="4373"/>
        <w:gridCol w:w="1441"/>
        <w:gridCol w:w="6486"/>
      </w:tblGrid>
      <w:tr>
        <w:trPr>
          <w:trHeight w:val="30" w:hRule="atLeast"/>
        </w:trPr>
        <w:tc>
          <w:tcPr>
            <w:tcW w:w="4373" w:type="dxa"/>
            <w:tcBorders/>
            <w:tcMar>
              <w:top w:w="15" w:type="dxa"/>
              <w:left w:w="15" w:type="dxa"/>
              <w:bottom w:w="15" w:type="dxa"/>
              <w:right w:w="15" w:type="dxa"/>
            </w:tcMar>
            <w:vAlign w:val="center"/>
          </w:tcPr>
          <w:bookmarkStart w:name="z47" w:id="48"/>
          <w:p>
            <w:pPr>
              <w:spacing w:after="20"/>
              <w:ind w:left="20"/>
              <w:jc w:val="both"/>
            </w:pPr>
            <w:r>
              <w:rPr>
                <w:rFonts w:ascii="Times New Roman"/>
                <w:b w:val="false"/>
                <w:i w:val="false"/>
                <w:color w:val="000000"/>
                <w:sz w:val="20"/>
              </w:rPr>
              <w:t>
"АО "ЖССБК"</w:t>
            </w:r>
          </w:p>
          <w:bookmarkEnd w:id="48"/>
        </w:tc>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"Жилстройсбербанк Казахстана"</w:t>
            </w:r>
          </w:p>
        </w:tc>
      </w:tr>
      <w:tr>
        <w:trPr>
          <w:trHeight w:val="30" w:hRule="atLeast"/>
        </w:trPr>
        <w:tc>
          <w:tcPr>
            <w:tcW w:w="4373" w:type="dxa"/>
            <w:tcBorders/>
            <w:tcMar>
              <w:top w:w="15" w:type="dxa"/>
              <w:left w:w="15" w:type="dxa"/>
              <w:bottom w:w="15" w:type="dxa"/>
              <w:right w:w="15" w:type="dxa"/>
            </w:tcMar>
            <w:vAlign w:val="center"/>
          </w:tcPr>
          <w:bookmarkStart w:name="z48" w:id="49"/>
          <w:p>
            <w:pPr>
              <w:spacing w:after="20"/>
              <w:ind w:left="20"/>
              <w:jc w:val="both"/>
            </w:pPr>
            <w:r>
              <w:rPr>
                <w:rFonts w:ascii="Times New Roman"/>
                <w:b w:val="false"/>
                <w:i w:val="false"/>
                <w:color w:val="000000"/>
                <w:sz w:val="20"/>
              </w:rPr>
              <w:t>
АО "ИО "КИК"</w:t>
            </w:r>
          </w:p>
          <w:bookmarkEnd w:id="49"/>
        </w:tc>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bl>
    <w:bookmarkStart w:name="z49" w:id="50"/>
    <w:p>
      <w:pPr>
        <w:spacing w:after="0"/>
        <w:ind w:left="0"/>
        <w:jc w:val="both"/>
      </w:pPr>
      <w:r>
        <w:rPr>
          <w:rFonts w:ascii="Times New Roman"/>
          <w:b w:val="false"/>
          <w:i w:val="false"/>
          <w:color w:val="000000"/>
          <w:sz w:val="28"/>
        </w:rPr>
        <w:t>
      исключить;</w:t>
      </w:r>
    </w:p>
    <w:bookmarkEnd w:id="50"/>
    <w:bookmarkStart w:name="z50" w:id="51"/>
    <w:p>
      <w:pPr>
        <w:spacing w:after="0"/>
        <w:ind w:left="0"/>
        <w:jc w:val="both"/>
      </w:pPr>
      <w:r>
        <w:rPr>
          <w:rFonts w:ascii="Times New Roman"/>
          <w:b w:val="false"/>
          <w:i w:val="false"/>
          <w:color w:val="000000"/>
          <w:sz w:val="28"/>
        </w:rPr>
        <w:t>
      строку:</w:t>
      </w:r>
    </w:p>
    <w:bookmarkEnd w:id="51"/>
    <w:tbl>
      <w:tblPr>
        <w:tblW w:w="0" w:type="auto"/>
        <w:tblCellSpacing w:w="0" w:type="auto"/>
        <w:tblBorders>
          <w:top w:val="none"/>
          <w:left w:val="none"/>
          <w:bottom w:val="none"/>
          <w:right w:val="none"/>
          <w:insideH w:val="none"/>
          <w:insideV w:val="none"/>
        </w:tblBorders>
      </w:tblPr>
      <w:tblGrid>
        <w:gridCol w:w="4333"/>
        <w:gridCol w:w="1625"/>
        <w:gridCol w:w="6342"/>
      </w:tblGrid>
      <w:tr>
        <w:trPr>
          <w:trHeight w:val="30" w:hRule="atLeast"/>
        </w:trPr>
        <w:tc>
          <w:tcPr>
            <w:tcW w:w="4333" w:type="dxa"/>
            <w:tcBorders/>
            <w:tcMar>
              <w:top w:w="15" w:type="dxa"/>
              <w:left w:w="15" w:type="dxa"/>
              <w:bottom w:w="15" w:type="dxa"/>
              <w:right w:w="15" w:type="dxa"/>
            </w:tcMar>
            <w:vAlign w:val="center"/>
          </w:tcPr>
          <w:bookmarkStart w:name="z51" w:id="52"/>
          <w:p>
            <w:pPr>
              <w:spacing w:after="20"/>
              <w:ind w:left="20"/>
              <w:jc w:val="both"/>
            </w:pPr>
            <w:r>
              <w:rPr>
                <w:rFonts w:ascii="Times New Roman"/>
                <w:b w:val="false"/>
                <w:i w:val="false"/>
                <w:color w:val="000000"/>
                <w:sz w:val="20"/>
              </w:rPr>
              <w:t>
"АО "КФГИК"</w:t>
            </w:r>
          </w:p>
          <w:bookmarkEnd w:id="52"/>
        </w:tc>
        <w:tc>
          <w:tcPr>
            <w:tcW w:w="1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фонд гарантирования ипотечных кредитов"</w:t>
            </w:r>
          </w:p>
        </w:tc>
      </w:tr>
    </w:tbl>
    <w:bookmarkStart w:name="z52" w:id="53"/>
    <w:p>
      <w:pPr>
        <w:spacing w:after="0"/>
        <w:ind w:left="0"/>
        <w:jc w:val="both"/>
      </w:pPr>
      <w:r>
        <w:rPr>
          <w:rFonts w:ascii="Times New Roman"/>
          <w:b w:val="false"/>
          <w:i w:val="false"/>
          <w:color w:val="000000"/>
          <w:sz w:val="28"/>
        </w:rPr>
        <w:t>
      исключить, текст на государственном языке не меняется.</w:t>
      </w:r>
    </w:p>
    <w:bookmarkEnd w:id="53"/>
    <w:bookmarkStart w:name="z2" w:id="54"/>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