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1553" w14:textId="5251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(Обычные операции) (Поддержка контрциклического развития) между Республикой Казахстан и Азиатским Банком Развития</w:t>
      </w:r>
    </w:p>
    <w:p>
      <w:pPr>
        <w:spacing w:after="0"/>
        <w:ind w:left="0"/>
        <w:jc w:val="both"/>
      </w:pPr>
      <w:r>
        <w:rPr>
          <w:rFonts w:ascii="Times New Roman"/>
          <w:b w:val="false"/>
          <w:i w:val="false"/>
          <w:color w:val="000000"/>
          <w:sz w:val="28"/>
        </w:rPr>
        <w:t>Указ Президента Республики Казахстан от 18 ноября 2015 года № 115</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займе (Обычные операции) (Поддержка контрциклического развития) между Республикой Казахстан и Азиатским Банком Развития.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(Обычные операции) (Поддержка контрциклического развития) между Республикой Казахстан и Азиатским Банком Развития.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его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2015 года № 115</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 (Поддержка контрциклического развития)</w:t>
      </w:r>
      <w:r>
        <w:br/>
      </w:r>
      <w:r>
        <w:rPr>
          <w:rFonts w:ascii="Times New Roman"/>
          <w:b/>
          <w:i w:val="false"/>
          <w:color w:val="000000"/>
        </w:rPr>
        <w:t>
между Республикой Казахстан и Азиатским Банком Развития</w:t>
      </w:r>
    </w:p>
    <w:bookmarkEnd w:id="3"/>
    <w:p>
      <w:pPr>
        <w:spacing w:after="0"/>
        <w:ind w:left="0"/>
        <w:jc w:val="both"/>
      </w:pPr>
      <w:r>
        <w:rPr>
          <w:rFonts w:ascii="Times New Roman"/>
          <w:b w:val="false"/>
          <w:i w:val="false"/>
          <w:color w:val="000000"/>
          <w:sz w:val="28"/>
        </w:rPr>
        <w:t>      Соглашение о займе от ______________ между Республикой Казахстан (именуемой в дальнейшем «Заемщик») и Азиатским Банком Развития (именуемым в дальнейшем «АБР»)</w:t>
      </w:r>
      <w:r>
        <w:br/>
      </w:r>
      <w:r>
        <w:rPr>
          <w:rFonts w:ascii="Times New Roman"/>
          <w:b w:val="false"/>
          <w:i w:val="false"/>
          <w:color w:val="000000"/>
          <w:sz w:val="28"/>
        </w:rPr>
        <w:t>
      Принимая во внимание нижеследующее:</w:t>
      </w:r>
      <w:r>
        <w:br/>
      </w:r>
      <w:r>
        <w:rPr>
          <w:rFonts w:ascii="Times New Roman"/>
          <w:b w:val="false"/>
          <w:i w:val="false"/>
          <w:color w:val="000000"/>
          <w:sz w:val="28"/>
        </w:rPr>
        <w:t>
      (А) АБР получил от Заемщика письмо о политике развития от 24 июля 2015 года (далее - «Письмо о политике развития»), в котором излагаются определенные задачи, политики и действия, формирующие расходы Заемщика на контрциклическое развитие, как описано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(далее - «Поддержка контрциклического развития» или «Программа»); </w:t>
      </w:r>
      <w:r>
        <w:br/>
      </w:r>
      <w:r>
        <w:rPr>
          <w:rFonts w:ascii="Times New Roman"/>
          <w:b w:val="false"/>
          <w:i w:val="false"/>
          <w:color w:val="000000"/>
          <w:sz w:val="28"/>
        </w:rPr>
        <w:t xml:space="preserve">
      (В) Заемщик обратился к АБР с просьбой о выделении займа для целей Программы; и </w:t>
      </w:r>
      <w:r>
        <w:br/>
      </w:r>
      <w:r>
        <w:rPr>
          <w:rFonts w:ascii="Times New Roman"/>
          <w:b w:val="false"/>
          <w:i w:val="false"/>
          <w:color w:val="000000"/>
          <w:sz w:val="28"/>
        </w:rPr>
        <w:t xml:space="preserve">
      (С) АБР выразил согласие на предоставление Заемщику займа из обычных капитальных ресурсов АБР на условиях и положениях, изложенных в настоящем Соглашении; </w:t>
      </w:r>
      <w:r>
        <w:br/>
      </w:r>
      <w:r>
        <w:rPr>
          <w:rFonts w:ascii="Times New Roman"/>
          <w:b w:val="false"/>
          <w:i w:val="false"/>
          <w:color w:val="000000"/>
          <w:sz w:val="28"/>
        </w:rPr>
        <w:t>
      с учетом вышеизложенного, стороны настоящего Соглашения договорились о нижеследующем:</w:t>
      </w:r>
    </w:p>
    <w:bookmarkStart w:name="z7" w:id="4"/>
    <w:p>
      <w:pPr>
        <w:spacing w:after="0"/>
        <w:ind w:left="0"/>
        <w:jc w:val="left"/>
      </w:pPr>
      <w:r>
        <w:rPr>
          <w:rFonts w:ascii="Times New Roman"/>
          <w:b/>
          <w:i w:val="false"/>
          <w:color w:val="000000"/>
        </w:rPr>
        <w:t xml:space="preserve"> 
СТАТЬЯ I</w:t>
      </w:r>
      <w:r>
        <w:br/>
      </w:r>
      <w:r>
        <w:rPr>
          <w:rFonts w:ascii="Times New Roman"/>
          <w:b/>
          <w:i w:val="false"/>
          <w:color w:val="000000"/>
        </w:rPr>
        <w:t>
Правила предоставления займа; Определения</w:t>
      </w:r>
    </w:p>
    <w:bookmarkEnd w:id="4"/>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r>
        <w:br/>
      </w:r>
      <w:r>
        <w:rPr>
          <w:rFonts w:ascii="Times New Roman"/>
          <w:b w:val="false"/>
          <w:i w:val="false"/>
          <w:color w:val="000000"/>
          <w:sz w:val="28"/>
        </w:rPr>
        <w:t xml:space="preserve">
      (a) Раздел 2.01(49) удален и заменен нижеследующим: </w:t>
      </w:r>
      <w:r>
        <w:br/>
      </w:r>
      <w:r>
        <w:rPr>
          <w:rFonts w:ascii="Times New Roman"/>
          <w:b w:val="false"/>
          <w:i w:val="false"/>
          <w:color w:val="000000"/>
          <w:sz w:val="28"/>
        </w:rPr>
        <w:t>
      «49. Термин «Программа» означает программу, для которой АБР согласился предоставить заем, как описано в Соглашении о займе, и его описание может быть изменено время от времени по согласованию между АБР и Заемщиком»;</w:t>
      </w:r>
      <w:r>
        <w:br/>
      </w:r>
      <w:r>
        <w:rPr>
          <w:rFonts w:ascii="Times New Roman"/>
          <w:b w:val="false"/>
          <w:i w:val="false"/>
          <w:color w:val="000000"/>
          <w:sz w:val="28"/>
        </w:rPr>
        <w:t xml:space="preserve">
      (b) термин «Проект» везде, где он упоминается в Правилах предоставления займа, будет заменен термином «Программа»; </w:t>
      </w:r>
      <w:r>
        <w:br/>
      </w:r>
      <w:r>
        <w:rPr>
          <w:rFonts w:ascii="Times New Roman"/>
          <w:b w:val="false"/>
          <w:i w:val="false"/>
          <w:color w:val="000000"/>
          <w:sz w:val="28"/>
        </w:rPr>
        <w:t xml:space="preserve">
      (c) Раздел 2.01(51) удален и заменен нижеследующим: </w:t>
      </w:r>
      <w:r>
        <w:br/>
      </w:r>
      <w:r>
        <w:rPr>
          <w:rFonts w:ascii="Times New Roman"/>
          <w:b w:val="false"/>
          <w:i w:val="false"/>
          <w:color w:val="000000"/>
          <w:sz w:val="28"/>
        </w:rPr>
        <w:t>
      «51. Термин «Исполнительное агентство по Программе» означает организацию или организации, отвечающие за выполнение Программы, как предусмотрено в Соглашении о займе.»;</w:t>
      </w:r>
      <w:r>
        <w:br/>
      </w:r>
      <w:r>
        <w:rPr>
          <w:rFonts w:ascii="Times New Roman"/>
          <w:b w:val="false"/>
          <w:i w:val="false"/>
          <w:color w:val="000000"/>
          <w:sz w:val="28"/>
        </w:rPr>
        <w:t xml:space="preserve">
      (d) термин «Исполнительное агентство по Проекту» везде, где он упоминается в Правилах предоставления займа, заменяется термином «Исполнительное агентство по Программе»; </w:t>
      </w:r>
      <w:r>
        <w:br/>
      </w:r>
      <w:r>
        <w:rPr>
          <w:rFonts w:ascii="Times New Roman"/>
          <w:b w:val="false"/>
          <w:i w:val="false"/>
          <w:color w:val="000000"/>
          <w:sz w:val="28"/>
        </w:rPr>
        <w:t xml:space="preserve">
      (e) Раздел 3.03 удален и заменен нижеследующим: </w:t>
      </w:r>
      <w:r>
        <w:br/>
      </w: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xml:space="preserve">
      (a) Заемщик обязуется выплачивать комиссию за резервирование по неосвоенной сумме займа по ставке и условиям, предусмотренным Соглашением о займе. </w:t>
      </w:r>
      <w:r>
        <w:br/>
      </w:r>
      <w:r>
        <w:rPr>
          <w:rFonts w:ascii="Times New Roman"/>
          <w:b w:val="false"/>
          <w:i w:val="false"/>
          <w:color w:val="000000"/>
          <w:sz w:val="28"/>
        </w:rPr>
        <w:t xml:space="preserve">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 </w:t>
      </w:r>
      <w:r>
        <w:br/>
      </w:r>
      <w:r>
        <w:rPr>
          <w:rFonts w:ascii="Times New Roman"/>
          <w:b w:val="false"/>
          <w:i w:val="false"/>
          <w:color w:val="000000"/>
          <w:sz w:val="28"/>
        </w:rPr>
        <w:t xml:space="preserve">
      (f) Раздел 3.06 удален и заменен нижеследующим: </w:t>
      </w:r>
      <w:r>
        <w:br/>
      </w:r>
      <w:r>
        <w:rPr>
          <w:rFonts w:ascii="Times New Roman"/>
          <w:b w:val="false"/>
          <w:i w:val="false"/>
          <w:color w:val="000000"/>
          <w:sz w:val="28"/>
        </w:rPr>
        <w:t>
      </w:t>
      </w:r>
      <w:r>
        <w:rPr>
          <w:rFonts w:ascii="Times New Roman"/>
          <w:b/>
          <w:i w:val="false"/>
          <w:color w:val="000000"/>
          <w:sz w:val="28"/>
        </w:rPr>
        <w:t>«Возмещение.</w:t>
      </w:r>
      <w:r>
        <w:br/>
      </w:r>
      <w:r>
        <w:rPr>
          <w:rFonts w:ascii="Times New Roman"/>
          <w:b w:val="false"/>
          <w:i w:val="false"/>
          <w:color w:val="000000"/>
          <w:sz w:val="28"/>
        </w:rPr>
        <w:t xml:space="preserve">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непогашенным займом, к которому применим более высокий фиксированный спред. Сумма возмещения будет определена путем умножения (i) разницы (выраженной в виде годового процентного значения) между фиксированным спредом, применимым к непогашенному займу, и фиксированным спредом, применимым к новым займам, на (ii) основную сумму непогашенного займа, по которому Заемщик обеспечивает выплату процентов в течение всех процентных периодов, начиная с и после даты вступления в силу сниженного фиксированного спреда, применимого к новым займам. </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(g) Раздел 3.07 удален и заменен нижеследующим:</w:t>
      </w:r>
      <w:r>
        <w:br/>
      </w:r>
      <w:r>
        <w:rPr>
          <w:rFonts w:ascii="Times New Roman"/>
          <w:b w:val="false"/>
          <w:i w:val="false"/>
          <w:color w:val="000000"/>
          <w:sz w:val="28"/>
        </w:rPr>
        <w:t>
      </w:t>
      </w:r>
      <w:r>
        <w:rPr>
          <w:rFonts w:ascii="Times New Roman"/>
          <w:b/>
          <w:i w:val="false"/>
          <w:color w:val="000000"/>
          <w:sz w:val="28"/>
        </w:rPr>
        <w:t>«Дополнительная сумма.</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непогашенным займом, к которому применим более низкий фиксированный спред, обязуется выплатить АБР дополнительную сумму. Размер данной дополнительной суммы будет определен путем умножения (i) разницы (выраженной в виде годового процентного значения) между фиксированным спредом, применимым к новым займам, и фиксированным спредом, применимым к непогашенному займу, на (ii) основную сумму непогашенного займа, по которой Заемщик обязуется выплачивать проценты в течение всех процентных периодов, начиная с и после даты вступления в силу повышенного фиксированного спреда, применимого к новым займам.</w:t>
      </w:r>
      <w:r>
        <w:br/>
      </w:r>
      <w:r>
        <w:rPr>
          <w:rFonts w:ascii="Times New Roman"/>
          <w:b w:val="false"/>
          <w:i w:val="false"/>
          <w:color w:val="000000"/>
          <w:sz w:val="28"/>
        </w:rPr>
        <w:t xml:space="preserve">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обеспечивает выплату АБР дополнительной суммы. Размер данной дополнительной суммы будет определен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суммы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 </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r>
        <w:br/>
      </w:r>
      <w:r>
        <w:rPr>
          <w:rFonts w:ascii="Times New Roman"/>
          <w:b w:val="false"/>
          <w:i w:val="false"/>
          <w:color w:val="000000"/>
          <w:sz w:val="28"/>
        </w:rPr>
        <w:t>
      (а) «Партнерское финансирование» означает денежные средства в местной валюте, получаемые из средств займа в рамках Программы и указанные в </w:t>
      </w:r>
      <w:r>
        <w:rPr>
          <w:rFonts w:ascii="Times New Roman"/>
          <w:b w:val="false"/>
          <w:i w:val="false"/>
          <w:color w:val="000000"/>
          <w:sz w:val="28"/>
        </w:rPr>
        <w:t>пункте 4</w:t>
      </w:r>
      <w:r>
        <w:rPr>
          <w:rFonts w:ascii="Times New Roman"/>
          <w:b w:val="false"/>
          <w:i w:val="false"/>
          <w:color w:val="000000"/>
          <w:sz w:val="28"/>
        </w:rPr>
        <w:t xml:space="preserve"> приложения 4 к настоящему Соглашению о займе;</w:t>
      </w:r>
      <w:r>
        <w:br/>
      </w:r>
      <w:r>
        <w:rPr>
          <w:rFonts w:ascii="Times New Roman"/>
          <w:b w:val="false"/>
          <w:i w:val="false"/>
          <w:color w:val="000000"/>
          <w:sz w:val="28"/>
        </w:rPr>
        <w:t>
      (b) «Депозитный счет» означает счет, указанный в </w:t>
      </w:r>
      <w:r>
        <w:rPr>
          <w:rFonts w:ascii="Times New Roman"/>
          <w:b w:val="false"/>
          <w:i w:val="false"/>
          <w:color w:val="000000"/>
          <w:sz w:val="28"/>
        </w:rPr>
        <w:t>пункте 3</w:t>
      </w:r>
      <w:r>
        <w:rPr>
          <w:rFonts w:ascii="Times New Roman"/>
          <w:b w:val="false"/>
          <w:i w:val="false"/>
          <w:color w:val="000000"/>
          <w:sz w:val="28"/>
        </w:rPr>
        <w:t xml:space="preserve"> приложения 3 к настоящему Соглашению о займе; </w:t>
      </w:r>
      <w:r>
        <w:br/>
      </w:r>
      <w:r>
        <w:rPr>
          <w:rFonts w:ascii="Times New Roman"/>
          <w:b w:val="false"/>
          <w:i w:val="false"/>
          <w:color w:val="000000"/>
          <w:sz w:val="28"/>
        </w:rPr>
        <w:t xml:space="preserve">
      (c) «Правомочные статьи импорта» означают весь импорт Заемщика в течение соответствующего периода за минусом следующих статей импорта в течение этого же периода: </w:t>
      </w:r>
      <w:r>
        <w:br/>
      </w:r>
      <w:r>
        <w:rPr>
          <w:rFonts w:ascii="Times New Roman"/>
          <w:b w:val="false"/>
          <w:i w:val="false"/>
          <w:color w:val="000000"/>
          <w:sz w:val="28"/>
        </w:rPr>
        <w:t>
      (i) импорт из стран, не являющихся членами АБР;</w:t>
      </w:r>
      <w:r>
        <w:br/>
      </w:r>
      <w:r>
        <w:rPr>
          <w:rFonts w:ascii="Times New Roman"/>
          <w:b w:val="false"/>
          <w:i w:val="false"/>
          <w:color w:val="000000"/>
          <w:sz w:val="28"/>
        </w:rPr>
        <w:t>
      (ii) импорт неправомочных статей, указанных в </w:t>
      </w:r>
      <w:r>
        <w:rPr>
          <w:rFonts w:ascii="Times New Roman"/>
          <w:b w:val="false"/>
          <w:i w:val="false"/>
          <w:color w:val="000000"/>
          <w:sz w:val="28"/>
        </w:rPr>
        <w:t>дополнении</w:t>
      </w:r>
      <w:r>
        <w:rPr>
          <w:rFonts w:ascii="Times New Roman"/>
          <w:b w:val="false"/>
          <w:i w:val="false"/>
          <w:color w:val="000000"/>
          <w:sz w:val="28"/>
        </w:rPr>
        <w:t xml:space="preserve"> к приложению 3 к настоящему Соглашению о займе; и</w:t>
      </w:r>
      <w:r>
        <w:br/>
      </w:r>
      <w:r>
        <w:rPr>
          <w:rFonts w:ascii="Times New Roman"/>
          <w:b w:val="false"/>
          <w:i w:val="false"/>
          <w:color w:val="000000"/>
          <w:sz w:val="28"/>
        </w:rPr>
        <w:t>
      (iii) импорт, финансируемый официальными международными или двусторонними агентствами по оказанию помощи или за счет любых других займов или грантов, выданных АБР;</w:t>
      </w:r>
      <w:r>
        <w:br/>
      </w:r>
      <w:r>
        <w:rPr>
          <w:rFonts w:ascii="Times New Roman"/>
          <w:b w:val="false"/>
          <w:i w:val="false"/>
          <w:color w:val="000000"/>
          <w:sz w:val="28"/>
        </w:rPr>
        <w:t xml:space="preserve">
      (d) «Правомочные статьи» означает Правомочные статьи импорта и услуги в связи с доставкой и установкой такого импорта; </w:t>
      </w:r>
      <w:r>
        <w:br/>
      </w:r>
      <w:r>
        <w:rPr>
          <w:rFonts w:ascii="Times New Roman"/>
          <w:b w:val="false"/>
          <w:i w:val="false"/>
          <w:color w:val="000000"/>
          <w:sz w:val="28"/>
        </w:rPr>
        <w:t>
      (e) «Первый транш» означает часть средств займа в размере пятисот миллионов долларов США (500000000 долларов США), подлежащих снятию в соответствии и на условиях положений </w:t>
      </w:r>
      <w:r>
        <w:rPr>
          <w:rFonts w:ascii="Times New Roman"/>
          <w:b w:val="false"/>
          <w:i w:val="false"/>
          <w:color w:val="000000"/>
          <w:sz w:val="28"/>
        </w:rPr>
        <w:t>пункта 4</w:t>
      </w:r>
      <w:r>
        <w:rPr>
          <w:rFonts w:ascii="Times New Roman"/>
          <w:b w:val="false"/>
          <w:i w:val="false"/>
          <w:color w:val="000000"/>
          <w:sz w:val="28"/>
        </w:rPr>
        <w:t xml:space="preserve"> приложения 3 к данному Соглашению о займе; </w:t>
      </w:r>
      <w:r>
        <w:br/>
      </w:r>
      <w:r>
        <w:rPr>
          <w:rFonts w:ascii="Times New Roman"/>
          <w:b w:val="false"/>
          <w:i w:val="false"/>
          <w:color w:val="000000"/>
          <w:sz w:val="28"/>
        </w:rPr>
        <w:t xml:space="preserve">
      (f) «Справочник по освоению средств займа» означает Справочник АБР по освоению средств займа (от 2015 года, с периодическими поправками); </w:t>
      </w:r>
      <w:r>
        <w:br/>
      </w:r>
      <w:r>
        <w:rPr>
          <w:rFonts w:ascii="Times New Roman"/>
          <w:b w:val="false"/>
          <w:i w:val="false"/>
          <w:color w:val="000000"/>
          <w:sz w:val="28"/>
        </w:rPr>
        <w:t xml:space="preserve">
      (g) «МФ» означает Министерство финансов Заемщика; </w:t>
      </w:r>
      <w:r>
        <w:br/>
      </w:r>
      <w:r>
        <w:rPr>
          <w:rFonts w:ascii="Times New Roman"/>
          <w:b w:val="false"/>
          <w:i w:val="false"/>
          <w:color w:val="000000"/>
          <w:sz w:val="28"/>
        </w:rPr>
        <w:t>
      (Һ) «Национальный банк» означает Национальный банк Заемщика или любого его правопреемника;</w:t>
      </w:r>
      <w:r>
        <w:br/>
      </w:r>
      <w:r>
        <w:rPr>
          <w:rFonts w:ascii="Times New Roman"/>
          <w:b w:val="false"/>
          <w:i w:val="false"/>
          <w:color w:val="000000"/>
          <w:sz w:val="28"/>
        </w:rPr>
        <w:t>
      (i) «Исполнительное агентство по Программе» для целей и в соответствии со значением Правил предоставления займа означает Министерство финансов или любой его правопреемник, приемлемый для АБР, который ответственен за реализацию Программы; и</w:t>
      </w:r>
      <w:r>
        <w:br/>
      </w:r>
      <w:r>
        <w:rPr>
          <w:rFonts w:ascii="Times New Roman"/>
          <w:b w:val="false"/>
          <w:i w:val="false"/>
          <w:color w:val="000000"/>
          <w:sz w:val="28"/>
        </w:rPr>
        <w:t>
      (j) «Второй транш» означает остаток средств займа, остающихся на счете займа после использования Первого транша, подлежащих снятию в соответствии и на условиях положений </w:t>
      </w:r>
      <w:r>
        <w:rPr>
          <w:rFonts w:ascii="Times New Roman"/>
          <w:b w:val="false"/>
          <w:i w:val="false"/>
          <w:color w:val="000000"/>
          <w:sz w:val="28"/>
        </w:rPr>
        <w:t>пункта 5</w:t>
      </w:r>
      <w:r>
        <w:rPr>
          <w:rFonts w:ascii="Times New Roman"/>
          <w:b w:val="false"/>
          <w:i w:val="false"/>
          <w:color w:val="000000"/>
          <w:sz w:val="28"/>
        </w:rPr>
        <w:t xml:space="preserve"> приложения 3 к данному Соглашению о займе.</w:t>
      </w:r>
    </w:p>
    <w:bookmarkStart w:name="z8" w:id="5"/>
    <w:p>
      <w:pPr>
        <w:spacing w:after="0"/>
        <w:ind w:left="0"/>
        <w:jc w:val="left"/>
      </w:pPr>
      <w:r>
        <w:rPr>
          <w:rFonts w:ascii="Times New Roman"/>
          <w:b/>
          <w:i w:val="false"/>
          <w:color w:val="000000"/>
        </w:rPr>
        <w:t xml:space="preserve"> 
СТАТЬЯ II</w:t>
      </w:r>
      <w:r>
        <w:br/>
      </w:r>
      <w:r>
        <w:rPr>
          <w:rFonts w:ascii="Times New Roman"/>
          <w:b/>
          <w:i w:val="false"/>
          <w:color w:val="000000"/>
        </w:rPr>
        <w:t>
Заем</w:t>
      </w:r>
    </w:p>
    <w:bookmarkEnd w:id="5"/>
    <w:p>
      <w:pPr>
        <w:spacing w:after="0"/>
        <w:ind w:left="0"/>
        <w:jc w:val="both"/>
      </w:pPr>
      <w:r>
        <w:rPr>
          <w:rFonts w:ascii="Times New Roman"/>
          <w:b w:val="false"/>
          <w:i w:val="false"/>
          <w:color w:val="000000"/>
          <w:sz w:val="28"/>
        </w:rPr>
        <w:t>      Раздел 2.01. (а) АБР соглашается предоставить Заемщику заем из обычных капитальных ресурсов АБР на сумму один миллиард долларов СИТА (1000000000 долларов США),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два (2) года и льготный период, определенный в пункте (с) данного раздела.</w:t>
      </w:r>
      <w:r>
        <w:br/>
      </w:r>
      <w:r>
        <w:rPr>
          <w:rFonts w:ascii="Times New Roman"/>
          <w:b w:val="false"/>
          <w:i w:val="false"/>
          <w:color w:val="000000"/>
          <w:sz w:val="28"/>
        </w:rPr>
        <w:t>
      (с) Термин «льготный период», используемый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Раздел 2.02. Заемщик будет выплачивать АБР проценты на основную сумму займа, снятую и непогашенную, периодически по ставке каждого процентного периода, равной сумме:</w:t>
      </w:r>
      <w:r>
        <w:br/>
      </w:r>
      <w:r>
        <w:rPr>
          <w:rFonts w:ascii="Times New Roman"/>
          <w:b w:val="false"/>
          <w:i w:val="false"/>
          <w:color w:val="000000"/>
          <w:sz w:val="28"/>
        </w:rPr>
        <w:t xml:space="preserve">
      (a) ЛИБОР; и </w:t>
      </w:r>
      <w:r>
        <w:br/>
      </w:r>
      <w:r>
        <w:rPr>
          <w:rFonts w:ascii="Times New Roman"/>
          <w:b w:val="false"/>
          <w:i w:val="false"/>
          <w:color w:val="000000"/>
          <w:sz w:val="28"/>
        </w:rPr>
        <w:t xml:space="preserve">
      (b) 2,00% согласно разделу 3.02 Правил предоставления займа. </w:t>
      </w:r>
      <w:r>
        <w:br/>
      </w:r>
      <w:r>
        <w:rPr>
          <w:rFonts w:ascii="Times New Roman"/>
          <w:b w:val="false"/>
          <w:i w:val="false"/>
          <w:color w:val="000000"/>
          <w:sz w:val="28"/>
        </w:rPr>
        <w:t xml:space="preserve">
      Раздел 2.03. Заемщик выплатит комиссию за резервирование в размере 0,75% в год на неосвоенную сумму займа. Данная комиссия будет начисляться на полную сумму займа (за минусом сумм, которые периодически снимались), начиная с даты по истечении шестидесяти (60) дней после даты подписания настоящего Соглашения о займе. </w:t>
      </w:r>
      <w:r>
        <w:br/>
      </w:r>
      <w:r>
        <w:rPr>
          <w:rFonts w:ascii="Times New Roman"/>
          <w:b w:val="false"/>
          <w:i w:val="false"/>
          <w:color w:val="000000"/>
          <w:sz w:val="28"/>
        </w:rPr>
        <w:t>
      Раздел 2.04. Проценты и прочие выплаты по займу подлежат оплате один раз в полугодие 15 февраля и 15 августа каждого года.</w:t>
      </w:r>
      <w:r>
        <w:br/>
      </w:r>
      <w:r>
        <w:rPr>
          <w:rFonts w:ascii="Times New Roman"/>
          <w:b w:val="false"/>
          <w:i w:val="false"/>
          <w:color w:val="000000"/>
          <w:sz w:val="28"/>
        </w:rPr>
        <w:t>
      Раздел 2.05. Заемщик выплатит основную сумму займа, снятую со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Раздел 2.06. (а) Заемщик вправе в любое время запросить любую из нижеследующих конвертаций условий займа с целью обеспечения рационального управления долгом:</w:t>
      </w:r>
      <w:r>
        <w:br/>
      </w:r>
      <w:r>
        <w:rPr>
          <w:rFonts w:ascii="Times New Roman"/>
          <w:b w:val="false"/>
          <w:i w:val="false"/>
          <w:color w:val="000000"/>
          <w:sz w:val="28"/>
        </w:rPr>
        <w:t xml:space="preserve">
      (i) изменение валюты всей основной суммы займа или любой ее части, как снятой и непогашенной, так и не снятой, на утвержденную валюту; </w:t>
      </w:r>
      <w:r>
        <w:br/>
      </w:r>
      <w:r>
        <w:rPr>
          <w:rFonts w:ascii="Times New Roman"/>
          <w:b w:val="false"/>
          <w:i w:val="false"/>
          <w:color w:val="000000"/>
          <w:sz w:val="28"/>
        </w:rPr>
        <w:t>
      (ii) изменение базовой процентной ставки, применимой как ко всей основной сумме займа, так и любой ее части, снятой и непогашенной, с плавающей процентной ставки на фиксированную, или наоборот; и</w:t>
      </w:r>
      <w:r>
        <w:br/>
      </w:r>
      <w:r>
        <w:rPr>
          <w:rFonts w:ascii="Times New Roman"/>
          <w:b w:val="false"/>
          <w:i w:val="false"/>
          <w:color w:val="000000"/>
          <w:sz w:val="28"/>
        </w:rPr>
        <w:t xml:space="preserve">
      (iii) установление лимитов на плавающую процентную ставку, применимую как ко всей основной сумме займа, так и любой ее части, снятой и непогашенной, путем установления максимума либо минимума указанной плавающей процентной ставки. </w:t>
      </w:r>
      <w:r>
        <w:br/>
      </w:r>
      <w:r>
        <w:rPr>
          <w:rFonts w:ascii="Times New Roman"/>
          <w:b w:val="false"/>
          <w:i w:val="false"/>
          <w:color w:val="000000"/>
          <w:sz w:val="28"/>
        </w:rPr>
        <w:t>
      (b) Любая конвертация, запрошенная в соответствии с пунктом (а) данного раздела, одобренная АБР, будет считаться «Конвертацией» по определению раздела 2.01(6) Правил предоставления займа, и должна вступить в силу в соответствии с положениями статьи V Правил предоставления займа и Руководства по конвертации.</w:t>
      </w:r>
    </w:p>
    <w:bookmarkStart w:name="z9" w:id="6"/>
    <w:p>
      <w:pPr>
        <w:spacing w:after="0"/>
        <w:ind w:left="0"/>
        <w:jc w:val="left"/>
      </w:pPr>
      <w:r>
        <w:rPr>
          <w:rFonts w:ascii="Times New Roman"/>
          <w:b/>
          <w:i w:val="false"/>
          <w:color w:val="000000"/>
        </w:rPr>
        <w:t xml:space="preserve"> 
СТАТЬЯ III</w:t>
      </w:r>
      <w:r>
        <w:br/>
      </w:r>
      <w:r>
        <w:rPr>
          <w:rFonts w:ascii="Times New Roman"/>
          <w:b/>
          <w:i w:val="false"/>
          <w:color w:val="000000"/>
        </w:rPr>
        <w:t>
Использование средств займа</w:t>
      </w:r>
    </w:p>
    <w:bookmarkEnd w:id="6"/>
    <w:p>
      <w:pPr>
        <w:spacing w:after="0"/>
        <w:ind w:left="0"/>
        <w:jc w:val="both"/>
      </w:pPr>
      <w:r>
        <w:rPr>
          <w:rFonts w:ascii="Times New Roman"/>
          <w:b w:val="false"/>
          <w:i w:val="false"/>
          <w:color w:val="000000"/>
          <w:sz w:val="28"/>
        </w:rPr>
        <w:t>      Раздел 3.01. Заемщик обеспечивает использование средств займа на финансирование затрат по Программе в соответствии с положениями настоящего Соглашения о займе.</w:t>
      </w:r>
      <w:r>
        <w:br/>
      </w:r>
      <w:r>
        <w:rPr>
          <w:rFonts w:ascii="Times New Roman"/>
          <w:b w:val="false"/>
          <w:i w:val="false"/>
          <w:color w:val="000000"/>
          <w:sz w:val="28"/>
        </w:rPr>
        <w:t>
      Раздел 3.02. Средства займа должны сниматься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о займе, и это приложение может время от времени изменяться по согласованию между АБР и Заемщиком.</w:t>
      </w:r>
      <w:r>
        <w:br/>
      </w:r>
      <w:r>
        <w:rPr>
          <w:rFonts w:ascii="Times New Roman"/>
          <w:b w:val="false"/>
          <w:i w:val="false"/>
          <w:color w:val="000000"/>
          <w:sz w:val="28"/>
        </w:rPr>
        <w:t>
      Раздел 3.03. Датой закрытия для снятия средств со счета займа для целей раздела 9.02 Правил предоставления займа считается 31 декабря 2016 года, либо другая дата, которая может время от времени согласовываться между Заемщиком и АБР.</w:t>
      </w:r>
    </w:p>
    <w:bookmarkStart w:name="z10" w:id="7"/>
    <w:p>
      <w:pPr>
        <w:spacing w:after="0"/>
        <w:ind w:left="0"/>
        <w:jc w:val="left"/>
      </w:pPr>
      <w:r>
        <w:rPr>
          <w:rFonts w:ascii="Times New Roman"/>
          <w:b/>
          <w:i w:val="false"/>
          <w:color w:val="000000"/>
        </w:rPr>
        <w:t xml:space="preserve"> 
СТАТЬЯ IV</w:t>
      </w:r>
      <w:r>
        <w:br/>
      </w:r>
      <w:r>
        <w:rPr>
          <w:rFonts w:ascii="Times New Roman"/>
          <w:b/>
          <w:i w:val="false"/>
          <w:color w:val="000000"/>
        </w:rPr>
        <w:t>
Особые условия</w:t>
      </w:r>
    </w:p>
    <w:bookmarkEnd w:id="7"/>
    <w:p>
      <w:pPr>
        <w:spacing w:after="0"/>
        <w:ind w:left="0"/>
        <w:jc w:val="both"/>
      </w:pPr>
      <w:r>
        <w:rPr>
          <w:rFonts w:ascii="Times New Roman"/>
          <w:b w:val="false"/>
          <w:i w:val="false"/>
          <w:color w:val="000000"/>
          <w:sz w:val="28"/>
        </w:rPr>
        <w:t>      Раздел 4.01. (а) Заемщик обеспечивает реализацию Программы с должной ответственностью и эффективностью и в соответствии с рациональными применимыми техническими, финансовыми, деловыми практиками и практиками развития.</w:t>
      </w:r>
      <w:r>
        <w:br/>
      </w:r>
      <w:r>
        <w:rPr>
          <w:rFonts w:ascii="Times New Roman"/>
          <w:b w:val="false"/>
          <w:i w:val="false"/>
          <w:color w:val="000000"/>
          <w:sz w:val="28"/>
        </w:rPr>
        <w:t>
      (b) В процессе реализации Программы Заемщик исполняет либо поручает исполнение всех обязательств, изложенных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и иные ресурсы, необходимые для реализации Программы.</w:t>
      </w:r>
      <w:r>
        <w:br/>
      </w:r>
      <w:r>
        <w:rPr>
          <w:rFonts w:ascii="Times New Roman"/>
          <w:b w:val="false"/>
          <w:i w:val="false"/>
          <w:color w:val="000000"/>
          <w:sz w:val="28"/>
        </w:rPr>
        <w:t>
      Раздел 4.03. Заемщик обеспечивает,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w:t>
      </w:r>
      <w:r>
        <w:br/>
      </w:r>
      <w:r>
        <w:rPr>
          <w:rFonts w:ascii="Times New Roman"/>
          <w:b w:val="false"/>
          <w:i w:val="false"/>
          <w:color w:val="000000"/>
          <w:sz w:val="28"/>
        </w:rPr>
        <w:t>
      Раздел 4.04. (а) Заемщик будет вести либо обеспечит ведение соответствующих записей и документов, позволяющих идентифицировать Правомочные статьи, финансируемые из средств займа, и определить ход реализации Программы.</w:t>
      </w:r>
      <w:r>
        <w:br/>
      </w:r>
      <w:r>
        <w:rPr>
          <w:rFonts w:ascii="Times New Roman"/>
          <w:b w:val="false"/>
          <w:i w:val="false"/>
          <w:color w:val="000000"/>
          <w:sz w:val="28"/>
        </w:rPr>
        <w:t>
      (b) Заемщик предоставит возможность представителям АБР осуществлять проверку любых соответствующих записей и документов, указанных в пункте (а) данного раздела.</w:t>
      </w:r>
      <w:r>
        <w:br/>
      </w:r>
      <w:r>
        <w:rPr>
          <w:rFonts w:ascii="Times New Roman"/>
          <w:b w:val="false"/>
          <w:i w:val="false"/>
          <w:color w:val="000000"/>
          <w:sz w:val="28"/>
        </w:rPr>
        <w:t>
      Раздел 4.05. (а) В рамках предоставления отчетности и информации, указанной в разделе 7.04 Правил предоставления займа, Заемщик предоставит либо обеспечит предоставление АБР всей такой обоснованно запрошенной со стороны АБР отчетности и информации, касающейся (i) Партнерского финансирования и его использования; и (ii) реализации Программы, включая достижение целей и выполнение действий, предусмотренных в Программе.</w:t>
      </w:r>
      <w:r>
        <w:br/>
      </w:r>
      <w:r>
        <w:rPr>
          <w:rFonts w:ascii="Times New Roman"/>
          <w:b w:val="false"/>
          <w:i w:val="false"/>
          <w:color w:val="000000"/>
          <w:sz w:val="28"/>
        </w:rPr>
        <w:t>
      (b) Не ограничивая общий смысл Раздела 7.04 Правил предоставления займа, Заемщик предоставляет либо обеспечивает предоставление АБР годовой отчетности о реализации Программы, а также о достижении целей и выполнении действий, изложенных в Письме о политике развития.</w:t>
      </w:r>
    </w:p>
    <w:bookmarkStart w:name="z11" w:id="8"/>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w:t>
      </w:r>
    </w:p>
    <w:bookmarkEnd w:id="8"/>
    <w:p>
      <w:pPr>
        <w:spacing w:after="0"/>
        <w:ind w:left="0"/>
        <w:jc w:val="both"/>
      </w:pPr>
      <w:r>
        <w:rPr>
          <w:rFonts w:ascii="Times New Roman"/>
          <w:b w:val="false"/>
          <w:i w:val="false"/>
          <w:color w:val="000000"/>
          <w:sz w:val="28"/>
        </w:rPr>
        <w:t>      Раздел 5.01. Дата по истечении тридцати (30) дней после даты подписания настоящего Соглашения о займе считается датой вступления в силу Соглашения о займе для целей раздела 10.04 Правил предоставления займа.</w:t>
      </w:r>
    </w:p>
    <w:bookmarkStart w:name="z12" w:id="9"/>
    <w:p>
      <w:pPr>
        <w:spacing w:after="0"/>
        <w:ind w:left="0"/>
        <w:jc w:val="left"/>
      </w:pPr>
      <w:r>
        <w:rPr>
          <w:rFonts w:ascii="Times New Roman"/>
          <w:b/>
          <w:i w:val="false"/>
          <w:color w:val="000000"/>
        </w:rPr>
        <w:t xml:space="preserve"> 
СТАТЬЯ VI</w:t>
      </w:r>
      <w:r>
        <w:br/>
      </w:r>
      <w:r>
        <w:rPr>
          <w:rFonts w:ascii="Times New Roman"/>
          <w:b/>
          <w:i w:val="false"/>
          <w:color w:val="000000"/>
        </w:rPr>
        <w:t>
Прочие положения</w:t>
      </w:r>
    </w:p>
    <w:bookmarkEnd w:id="9"/>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r>
        <w:br/>
      </w:r>
      <w:r>
        <w:rPr>
          <w:rFonts w:ascii="Times New Roman"/>
          <w:b w:val="false"/>
          <w:i w:val="false"/>
          <w:color w:val="000000"/>
          <w:sz w:val="28"/>
        </w:rPr>
        <w:t>
      Раздел 6.02. Нижеследующие реквизиты указаны для целей раздела 12.01 Правил предоставления займа:</w:t>
      </w:r>
      <w:r>
        <w:br/>
      </w:r>
      <w:r>
        <w:rPr>
          <w:rFonts w:ascii="Times New Roman"/>
          <w:b w:val="false"/>
          <w:i w:val="false"/>
          <w:color w:val="000000"/>
          <w:sz w:val="28"/>
        </w:rPr>
        <w:t>
      </w:t>
      </w:r>
      <w:r>
        <w:rPr>
          <w:rFonts w:ascii="Times New Roman"/>
          <w:b w:val="false"/>
          <w:i w:val="false"/>
          <w:color w:val="000000"/>
          <w:sz w:val="28"/>
          <w:u w:val="single"/>
        </w:rPr>
        <w:t>За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Факс: +7 (7172)717785</w:t>
      </w:r>
      <w:r>
        <w:br/>
      </w:r>
      <w:r>
        <w:rPr>
          <w:rFonts w:ascii="Times New Roman"/>
          <w:b w:val="false"/>
          <w:i w:val="false"/>
          <w:color w:val="000000"/>
          <w:sz w:val="28"/>
        </w:rPr>
        <w:t>
      </w:t>
      </w:r>
      <w:r>
        <w:rPr>
          <w:rFonts w:ascii="Times New Roman"/>
          <w:b w:val="false"/>
          <w:i w:val="false"/>
          <w:color w:val="000000"/>
          <w:sz w:val="28"/>
          <w:u w:val="single"/>
        </w:rPr>
        <w:t>За АБР</w:t>
      </w:r>
      <w:r>
        <w:br/>
      </w: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r>
        <w:br/>
      </w:r>
      <w:r>
        <w:rPr>
          <w:rFonts w:ascii="Times New Roman"/>
          <w:b w:val="false"/>
          <w:i w:val="false"/>
          <w:color w:val="000000"/>
          <w:sz w:val="28"/>
        </w:rPr>
        <w:t>
      Факс: (632) 636-2444</w:t>
      </w:r>
      <w:r>
        <w:br/>
      </w: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xml:space="preserve">Азиатский Банк Развития    </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[Уполномоченный представитель]</w:t>
      </w:r>
    </w:p>
    <w:bookmarkStart w:name="z13" w:id="10"/>
    <w:p>
      <w:pPr>
        <w:spacing w:after="0"/>
        <w:ind w:left="0"/>
        <w:jc w:val="left"/>
      </w:pPr>
      <w:r>
        <w:rPr>
          <w:rFonts w:ascii="Times New Roman"/>
          <w:b/>
          <w:i w:val="false"/>
          <w:color w:val="000000"/>
        </w:rPr>
        <w:t xml:space="preserve"> 
ПРИЛОЖЕНИЕ 1</w:t>
      </w:r>
    </w:p>
    <w:bookmarkEnd w:id="10"/>
    <w:bookmarkStart w:name="z14" w:id="11"/>
    <w:p>
      <w:pPr>
        <w:spacing w:after="0"/>
        <w:ind w:left="0"/>
        <w:jc w:val="left"/>
      </w:pPr>
      <w:r>
        <w:rPr>
          <w:rFonts w:ascii="Times New Roman"/>
          <w:b/>
          <w:i w:val="false"/>
          <w:color w:val="000000"/>
        </w:rPr>
        <w:t xml:space="preserve"> 
Описание Программы</w:t>
      </w:r>
    </w:p>
    <w:bookmarkEnd w:id="11"/>
    <w:bookmarkStart w:name="z15" w:id="12"/>
    <w:p>
      <w:pPr>
        <w:spacing w:after="0"/>
        <w:ind w:left="0"/>
        <w:jc w:val="both"/>
      </w:pPr>
      <w:r>
        <w:rPr>
          <w:rFonts w:ascii="Times New Roman"/>
          <w:b w:val="false"/>
          <w:i w:val="false"/>
          <w:color w:val="000000"/>
          <w:sz w:val="28"/>
        </w:rPr>
        <w:t>
      1. Главной целью Программы является поддержание финансовой устойчивости Заемщика. В рамки Программы входит реализация мер, направленных на (а) поддержание развития ненефтяного и частного сектора, (b) увеличение занятости населения и (с) поддержание приоритетных расходов, направленных на сохранение рабочих мест, и расходов на социальные нужды. Более подробное описание Программы содержится в Письме о политике развития.</w:t>
      </w:r>
      <w:r>
        <w:br/>
      </w:r>
      <w:r>
        <w:rPr>
          <w:rFonts w:ascii="Times New Roman"/>
          <w:b w:val="false"/>
          <w:i w:val="false"/>
          <w:color w:val="000000"/>
          <w:sz w:val="28"/>
        </w:rPr>
        <w:t>
</w:t>
      </w:r>
      <w:r>
        <w:rPr>
          <w:rFonts w:ascii="Times New Roman"/>
          <w:b w:val="false"/>
          <w:i w:val="false"/>
          <w:color w:val="000000"/>
          <w:sz w:val="28"/>
        </w:rPr>
        <w:t xml:space="preserve">
      2. Ожидается, что средства данного займа будут выделены двумя равными траншами и использованы до 31 декабря 2016 года. </w:t>
      </w:r>
    </w:p>
    <w:bookmarkEnd w:id="12"/>
    <w:bookmarkStart w:name="z17" w:id="13"/>
    <w:p>
      <w:pPr>
        <w:spacing w:after="0"/>
        <w:ind w:left="0"/>
        <w:jc w:val="left"/>
      </w:pPr>
      <w:r>
        <w:rPr>
          <w:rFonts w:ascii="Times New Roman"/>
          <w:b/>
          <w:i w:val="false"/>
          <w:color w:val="000000"/>
        </w:rPr>
        <w:t xml:space="preserve"> 
ПРИЛОЖЕНИЕ 2</w:t>
      </w:r>
    </w:p>
    <w:bookmarkEnd w:id="13"/>
    <w:bookmarkStart w:name="z18" w:id="14"/>
    <w:p>
      <w:pPr>
        <w:spacing w:after="0"/>
        <w:ind w:left="0"/>
        <w:jc w:val="left"/>
      </w:pPr>
      <w:r>
        <w:rPr>
          <w:rFonts w:ascii="Times New Roman"/>
          <w:b/>
          <w:i w:val="false"/>
          <w:color w:val="000000"/>
        </w:rPr>
        <w:t xml:space="preserve"> 
График погашения займа</w:t>
      </w:r>
      <w:r>
        <w:br/>
      </w:r>
      <w:r>
        <w:rPr>
          <w:rFonts w:ascii="Times New Roman"/>
          <w:b/>
          <w:i w:val="false"/>
          <w:color w:val="000000"/>
        </w:rPr>
        <w:t>
(Программа поддержки контрциклического развития)</w:t>
      </w:r>
    </w:p>
    <w:bookmarkEnd w:id="14"/>
    <w:bookmarkStart w:name="z19" w:id="15"/>
    <w:p>
      <w:pPr>
        <w:spacing w:after="0"/>
        <w:ind w:left="0"/>
        <w:jc w:val="both"/>
      </w:pPr>
      <w:r>
        <w:rPr>
          <w:rFonts w:ascii="Times New Roman"/>
          <w:b w:val="false"/>
          <w:i w:val="false"/>
          <w:color w:val="000000"/>
          <w:sz w:val="28"/>
        </w:rPr>
        <w:t xml:space="preserve">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будут в полном объеме освоены на первую дату платежа в погашение основной суммы займа, основная сумма займа, подлежащая оплате Заемщиком на каждую дату платежа в погашение основной суммы займа, будет определена АБР путем умножения: (а) общей основной суммы займа, снятой и непогашенной на момент первой даты платежа в погашение основной суммы займа; на (b) очередной взнос для каждой даты платежа в погашение основной суммы займа, при этом такая сумма погашения будет изменена при необходимости для вычета любых сумм, указанных в пункте 4 настоящего приложения, к которым применима конвертация валюты. </w:t>
      </w:r>
    </w:p>
    <w:bookmarkEnd w:id="15"/>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платежа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Очередной взнос</w:t>
            </w:r>
            <w:r>
              <w:br/>
            </w:r>
            <w:r>
              <w:rPr>
                <w:rFonts w:ascii="Times New Roman"/>
                <w:b w:val="false"/>
                <w:i w:val="false"/>
                <w:color w:val="000000"/>
                <w:sz w:val="20"/>
              </w:rPr>
              <w:t>
(выраженный в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2019 года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25000000</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2019 года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25000000</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2020 года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25000000</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 2020 года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25000000</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20" w:id="16"/>
    <w:p>
      <w:pPr>
        <w:spacing w:after="0"/>
        <w:ind w:left="0"/>
        <w:jc w:val="both"/>
      </w:pPr>
      <w:r>
        <w:rPr>
          <w:rFonts w:ascii="Times New Roman"/>
          <w:b w:val="false"/>
          <w:i w:val="false"/>
          <w:color w:val="000000"/>
          <w:sz w:val="28"/>
        </w:rPr>
        <w:t>
      2. Если средства займа не были в полном объеме освоены до первой даты платежа в погашение основной суммы займа, то основная сумма займа, подлежащая оплате Заемщиком на каждую дату платежа в погашение основной суммы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освоить на момент первой даты платежа в погашение основной суммы займа, Заемщик выплатит сумму, снятую и непогашенную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 </w:t>
      </w:r>
      <w:r>
        <w:br/>
      </w:r>
      <w:r>
        <w:rPr>
          <w:rFonts w:ascii="Times New Roman"/>
          <w:b w:val="false"/>
          <w:i w:val="false"/>
          <w:color w:val="000000"/>
          <w:sz w:val="28"/>
        </w:rPr>
        <w:t>
      (b) любое снятие средств, произведенное после первой даты платежа в погашение основной суммы займа, подлежит погашению в каждую дату платежа в погашение основной суммы займа, выпадающую после даты данного снятия средств, в суммах, определенных АБР путем умножения суммы каждого снятия средств на дробь, числителем которой будет являться первоначальный очередной взнос,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для вышеупомянутой даты платежа в погашение основной суммы займа (первоначальный очередной взнос), а знаменателем будет являться сумма всех оставшихся первоначальных очередных взносов для дат платежей в погашение основной суммы займа, выпадающих на момент или после данной даты, при этом данные суммы выплат будут изменяться при необходимости для вычета любых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xml:space="preserve">
      3. Средства, снятые в течение двух календарных месяцев до любой из дат платежей в погашение основной суммы займа, исключительно в целях подсчета основных сумм, подлежащих оплате в любой день погашения основной суммы займа, следует считать снятыми и непогашенными на момент второй даты платежа в погашение основной суммы займа после даты снятия средств, и данная сумма подлежит оплате в каждую дату платежа в погашение основной суммы займа, начиная со второй даты платежа в погашение основной суммы займа после даты снятия средств. </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валюты всей основной снятой суммы займа или любой ее части на утвержденную валюту, сумма средств, конвертированных в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ее деноминации непосредственно перед вышеупомянутой конвертацией либо (i) на курс обмена валют, отражающий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 </w:t>
      </w:r>
      <w:r>
        <w:br/>
      </w:r>
      <w:r>
        <w:rPr>
          <w:rFonts w:ascii="Times New Roman"/>
          <w:b w:val="false"/>
          <w:i w:val="false"/>
          <w:color w:val="000000"/>
          <w:sz w:val="28"/>
        </w:rPr>
        <w:t>
</w:t>
      </w:r>
      <w:r>
        <w:rPr>
          <w:rFonts w:ascii="Times New Roman"/>
          <w:b w:val="false"/>
          <w:i w:val="false"/>
          <w:color w:val="000000"/>
          <w:sz w:val="28"/>
        </w:rPr>
        <w:t xml:space="preserve">
      5. Если основная сумма займа, снятая и непогашенная, будет периодически номинирована в более чем одной валюте займа, положения настоящего приложения должны применяться по отдельности к суммам, номинированным в каждой валюте займа, с целью разработать отдельный график погашения для каждой из этих сумм. </w:t>
      </w:r>
    </w:p>
    <w:bookmarkEnd w:id="16"/>
    <w:bookmarkStart w:name="z24" w:id="17"/>
    <w:p>
      <w:pPr>
        <w:spacing w:after="0"/>
        <w:ind w:left="0"/>
        <w:jc w:val="left"/>
      </w:pPr>
      <w:r>
        <w:rPr>
          <w:rFonts w:ascii="Times New Roman"/>
          <w:b/>
          <w:i w:val="false"/>
          <w:color w:val="000000"/>
        </w:rPr>
        <w:t xml:space="preserve"> 
ПРИЛОЖЕНИЕ 3</w:t>
      </w:r>
    </w:p>
    <w:bookmarkEnd w:id="17"/>
    <w:bookmarkStart w:name="z46" w:id="18"/>
    <w:p>
      <w:pPr>
        <w:spacing w:after="0"/>
        <w:ind w:left="0"/>
        <w:jc w:val="left"/>
      </w:pPr>
      <w:r>
        <w:rPr>
          <w:rFonts w:ascii="Times New Roman"/>
          <w:b/>
          <w:i w:val="false"/>
          <w:color w:val="000000"/>
        </w:rPr>
        <w:t xml:space="preserve"> 
Снятие средств займа</w:t>
      </w:r>
    </w:p>
    <w:bookmarkEnd w:id="18"/>
    <w:bookmarkStart w:name="z25" w:id="19"/>
    <w:p>
      <w:pPr>
        <w:spacing w:after="0"/>
        <w:ind w:left="0"/>
        <w:jc w:val="both"/>
      </w:pPr>
      <w:r>
        <w:rPr>
          <w:rFonts w:ascii="Times New Roman"/>
          <w:b w:val="false"/>
          <w:i w:val="false"/>
          <w:color w:val="000000"/>
          <w:sz w:val="28"/>
        </w:rPr>
        <w:t xml:space="preserve">
      1. Если АБР не согласовано иное, следующие положения настоящего приложения будут применяться к снятию средств займа со счета займа. </w:t>
      </w:r>
      <w:r>
        <w:br/>
      </w:r>
      <w:r>
        <w:rPr>
          <w:rFonts w:ascii="Times New Roman"/>
          <w:b w:val="false"/>
          <w:i w:val="false"/>
          <w:color w:val="000000"/>
          <w:sz w:val="28"/>
        </w:rPr>
        <w:t>
</w:t>
      </w:r>
      <w:r>
        <w:rPr>
          <w:rFonts w:ascii="Times New Roman"/>
          <w:b w:val="false"/>
          <w:i w:val="false"/>
          <w:color w:val="000000"/>
          <w:sz w:val="28"/>
        </w:rPr>
        <w:t xml:space="preserve">
      2. (а) Заявка на снятие средств со счета займа должна быть направлена в АБР Заемщиком и должна быть выполнена в форме, удовлетворяющей требованиям АБР. </w:t>
      </w:r>
      <w:r>
        <w:br/>
      </w:r>
      <w:r>
        <w:rPr>
          <w:rFonts w:ascii="Times New Roman"/>
          <w:b w:val="false"/>
          <w:i w:val="false"/>
          <w:color w:val="000000"/>
          <w:sz w:val="28"/>
        </w:rPr>
        <w:t xml:space="preserve">
      (b) Такая заявка на снятие средств должна сопровождаться сертификатом Заемщика, подтверждающим, что в отношении каждого года, в течение которого ожидается выплата средств займа, ожидаемая стоимость правомочных статей импорта будет больше суммы займа, ожидаемой к выплате в течение такого года. </w:t>
      </w:r>
      <w:r>
        <w:br/>
      </w:r>
      <w:r>
        <w:rPr>
          <w:rFonts w:ascii="Times New Roman"/>
          <w:b w:val="false"/>
          <w:i w:val="false"/>
          <w:color w:val="000000"/>
          <w:sz w:val="28"/>
        </w:rPr>
        <w:t xml:space="preserve">
      (c) Заемщик разрешает экспертам, назначенным АБР, проверять стоимость Правомочных статей импорта в течение любого периода, по которому Заемщик представил сертификат о стоимости Правомочных статей импорта в своей заявке на снятие средств. </w:t>
      </w:r>
      <w:r>
        <w:br/>
      </w:r>
      <w:r>
        <w:rPr>
          <w:rFonts w:ascii="Times New Roman"/>
          <w:b w:val="false"/>
          <w:i w:val="false"/>
          <w:color w:val="000000"/>
          <w:sz w:val="28"/>
        </w:rPr>
        <w:t>
</w:t>
      </w:r>
      <w:r>
        <w:rPr>
          <w:rFonts w:ascii="Times New Roman"/>
          <w:b w:val="false"/>
          <w:i w:val="false"/>
          <w:color w:val="000000"/>
          <w:sz w:val="28"/>
        </w:rPr>
        <w:t xml:space="preserve">
      3. (а) До подачи первой заявки в АБР на снятие средств со счета займа Заемщик назначает счет в Национальном Банке Республики Казахстан в качестве депозитного счета, на котором будут депонированы все средства, снятые со счета займа. Депозитный счет создается, управляется и закрывается в соответствии со сроками и условиями, удовлетворяющими требованиям АБР. </w:t>
      </w:r>
      <w:r>
        <w:br/>
      </w:r>
      <w:r>
        <w:rPr>
          <w:rFonts w:ascii="Times New Roman"/>
          <w:b w:val="false"/>
          <w:i w:val="false"/>
          <w:color w:val="000000"/>
          <w:sz w:val="28"/>
        </w:rPr>
        <w:t xml:space="preserve">
      (b) Отдельная отчетность и документация по депозитному счету должны вестись в соответствии с принципами финансовой отчетности, приемлемыми для АБР. При получении запроса АБР Заемщик организовывает аудиторскую проверку финансовой отчетности депозитного счета в отношении только средств данного займа независимыми аудиторами, квалификация, опыт и круг полномочий которых приемлемы для АБР, в соответствии с международными стандартами аудита или их национальным эквивалентом, приемлемым для АБР. Сразу после подготовки, но в любом случае не позднее 6 месяцев после даты запроса АБР, заверенные копии таких финансовых отчетов на английском языке, прошедших аудиторскую проверку, должны быть представлены в АБР. </w:t>
      </w:r>
      <w:r>
        <w:br/>
      </w:r>
      <w:r>
        <w:rPr>
          <w:rFonts w:ascii="Times New Roman"/>
          <w:b w:val="false"/>
          <w:i w:val="false"/>
          <w:color w:val="000000"/>
          <w:sz w:val="28"/>
        </w:rPr>
        <w:t xml:space="preserve">
      (c) На протяжении всего периода реализации Программы Заемщик предоставляет статистику торговли и любую другую информацию, которую АБР может периодически запрашивать для оценки исполнения Заемщиком формулы для определения Правомочных статей импорта. </w:t>
      </w:r>
      <w:r>
        <w:br/>
      </w:r>
      <w:r>
        <w:rPr>
          <w:rFonts w:ascii="Times New Roman"/>
          <w:b w:val="false"/>
          <w:i w:val="false"/>
          <w:color w:val="000000"/>
          <w:sz w:val="28"/>
        </w:rPr>
        <w:t>
</w:t>
      </w:r>
      <w:r>
        <w:rPr>
          <w:rFonts w:ascii="Times New Roman"/>
          <w:b w:val="false"/>
          <w:i w:val="false"/>
          <w:color w:val="000000"/>
          <w:sz w:val="28"/>
        </w:rPr>
        <w:t xml:space="preserve">
      4. Заемщик может освоить первый транш после вступления в силу настоящего Соглашения о займе. </w:t>
      </w:r>
      <w:r>
        <w:br/>
      </w:r>
      <w:r>
        <w:rPr>
          <w:rFonts w:ascii="Times New Roman"/>
          <w:b w:val="false"/>
          <w:i w:val="false"/>
          <w:color w:val="000000"/>
          <w:sz w:val="28"/>
        </w:rPr>
        <w:t>
</w:t>
      </w:r>
      <w:r>
        <w:rPr>
          <w:rFonts w:ascii="Times New Roman"/>
          <w:b w:val="false"/>
          <w:i w:val="false"/>
          <w:color w:val="000000"/>
          <w:sz w:val="28"/>
        </w:rPr>
        <w:t>
      5. Вне зависимости от любых других положений настоящего Соглашения о займе и если иное не согласовано с АБР, со счета займа не должны сниматься никакие средства для второго транша, пока АБР, после консультации с Заемщиком, не убедится в том, что Заемщик выполнил следующие условия освоения средств:</w:t>
      </w:r>
      <w:r>
        <w:br/>
      </w:r>
      <w:r>
        <w:rPr>
          <w:rFonts w:ascii="Times New Roman"/>
          <w:b w:val="false"/>
          <w:i w:val="false"/>
          <w:color w:val="000000"/>
          <w:sz w:val="28"/>
        </w:rPr>
        <w:t xml:space="preserve">
      (a) создание единой базы данных для налогового и таможенного администрирования одобрено приказом МФ; </w:t>
      </w:r>
      <w:r>
        <w:br/>
      </w:r>
      <w:r>
        <w:rPr>
          <w:rFonts w:ascii="Times New Roman"/>
          <w:b w:val="false"/>
          <w:i w:val="false"/>
          <w:color w:val="000000"/>
          <w:sz w:val="28"/>
        </w:rPr>
        <w:t xml:space="preserve">
      (b) создание информационной системы «Е-декларирование» по таможенной очистке товаров одобрено приказом МФ; </w:t>
      </w:r>
      <w:r>
        <w:br/>
      </w:r>
      <w:r>
        <w:rPr>
          <w:rFonts w:ascii="Times New Roman"/>
          <w:b w:val="false"/>
          <w:i w:val="false"/>
          <w:color w:val="000000"/>
          <w:sz w:val="28"/>
        </w:rPr>
        <w:t xml:space="preserve">
      (c) в Парламент внесен законопроект, направленный на повышение инвестиционной привлекательности электроэнергетической отрасли и внедрение новой тарифной политики. Новая тарифная политика устанавливает внедрение специальной структуры тарифа на основе фиксированного компонента для покрытия капитальных расходов и переменного компонента для покрытия расходов на производство электроэнергии; </w:t>
      </w:r>
      <w:r>
        <w:br/>
      </w:r>
      <w:r>
        <w:rPr>
          <w:rFonts w:ascii="Times New Roman"/>
          <w:b w:val="false"/>
          <w:i w:val="false"/>
          <w:color w:val="000000"/>
          <w:sz w:val="28"/>
        </w:rPr>
        <w:t>
      (d) в Парламент внесен законопроект, предусматривающий оптимизацию социальной помощи через усиление ее адресного характера. В частности, новый закон будет предусматривать (i) денежную помощь гражданам с низким уровнем доходов, которые активно участвуют в программах содействия занятости и социальной адаптации; (ii) расширение доступа к возможностям трудоустройства, профессиональной подготовки и переподготовки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и (iii) заключение социального контракта между государством и индивидуальным бенефициаром. </w:t>
      </w:r>
    </w:p>
    <w:bookmarkEnd w:id="19"/>
    <w:bookmarkStart w:name="z30"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Дополнение к приложению 3</w:t>
      </w:r>
    </w:p>
    <w:bookmarkEnd w:id="20"/>
    <w:bookmarkStart w:name="z31" w:id="21"/>
    <w:p>
      <w:pPr>
        <w:spacing w:after="0"/>
        <w:ind w:left="0"/>
        <w:jc w:val="left"/>
      </w:pPr>
      <w:r>
        <w:rPr>
          <w:rFonts w:ascii="Times New Roman"/>
          <w:b/>
          <w:i w:val="false"/>
          <w:color w:val="000000"/>
        </w:rPr>
        <w:t xml:space="preserve"> 
Список исключений (неправомочных расходов)</w:t>
      </w:r>
    </w:p>
    <w:bookmarkEnd w:id="21"/>
    <w:p>
      <w:pPr>
        <w:spacing w:after="0"/>
        <w:ind w:left="0"/>
        <w:jc w:val="both"/>
      </w:pPr>
      <w:r>
        <w:rPr>
          <w:rFonts w:ascii="Times New Roman"/>
          <w:b w:val="false"/>
          <w:i w:val="false"/>
          <w:color w:val="000000"/>
          <w:sz w:val="28"/>
        </w:rPr>
        <w:t>      Снятие средств займа не будет производиться в отношении нижеследующего:</w:t>
      </w:r>
      <w:r>
        <w:br/>
      </w:r>
      <w:r>
        <w:rPr>
          <w:rFonts w:ascii="Times New Roman"/>
          <w:b w:val="false"/>
          <w:i w:val="false"/>
          <w:color w:val="000000"/>
          <w:sz w:val="28"/>
        </w:rPr>
        <w:t>
      (i) расходы, связанные с товарами, включенными в следующие группы или подгруппы Стандартной классификацией международной торговли ООН, издание 3 (СКМТ, изд. 3), или какую-либо группу либо подгруппу, предусмотренную дальнейшими изменениями в СКМТ, как это будет указано в уведомлении АБР Заемщику:</w:t>
      </w:r>
    </w:p>
    <w:bookmarkStart w:name="z32" w:id="22"/>
    <w:p>
      <w:pPr>
        <w:spacing w:after="0"/>
        <w:ind w:left="0"/>
        <w:jc w:val="both"/>
      </w:pPr>
      <w:r>
        <w:rPr>
          <w:rFonts w:ascii="Times New Roman"/>
          <w:b w:val="false"/>
          <w:i w:val="false"/>
          <w:color w:val="000000"/>
          <w:sz w:val="28"/>
        </w:rPr>
        <w:t>
</w:t>
      </w:r>
      <w:r>
        <w:rPr>
          <w:rFonts w:ascii="Times New Roman"/>
          <w:b/>
          <w:i w:val="false"/>
          <w:color w:val="000000"/>
          <w:sz w:val="28"/>
        </w:rPr>
        <w:t>                    Таблица: Неправомочные статьи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2279"/>
        <w:gridCol w:w="9926"/>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статей</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необработанный; отходы табачного производства</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обработанный (содержащий или не содержащий табачные заменители)</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 связанные с этим материалы</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драгоценные и полудрагоценные камни, необработанные или обработанные</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Ядерные реакторы и их комплектующие; топливные элементы (картриджи), не излучающие радиацию для ядерных реакторов</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или обработки табака</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металлов группы золота, серебра или платины (за исключением наручных часов и корпусов для наручных часов) и золотые или серебряные изделия (включая драгоценные камни)</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неденежное (за исключением золотой руды и концентратов)</w:t>
            </w:r>
          </w:p>
        </w:tc>
      </w:tr>
    </w:tbl>
    <w:p>
      <w:pPr>
        <w:spacing w:after="0"/>
        <w:ind w:left="0"/>
        <w:jc w:val="both"/>
      </w:pPr>
      <w:r>
        <w:rPr>
          <w:rFonts w:ascii="Times New Roman"/>
          <w:b w:val="false"/>
          <w:i w:val="false"/>
          <w:color w:val="000000"/>
          <w:sz w:val="28"/>
        </w:rPr>
        <w:t>      Источник: Организация Объединенных Наций.</w:t>
      </w:r>
    </w:p>
    <w:p>
      <w:pPr>
        <w:spacing w:after="0"/>
        <w:ind w:left="0"/>
        <w:jc w:val="both"/>
      </w:pPr>
      <w:r>
        <w:rPr>
          <w:rFonts w:ascii="Times New Roman"/>
          <w:b w:val="false"/>
          <w:i w:val="false"/>
          <w:color w:val="000000"/>
          <w:sz w:val="28"/>
        </w:rPr>
        <w:t xml:space="preserve">      (ii) расходы в валюте Заемщика, или на товары, поставленные с территории Заемщика; </w:t>
      </w:r>
      <w:r>
        <w:br/>
      </w:r>
      <w:r>
        <w:rPr>
          <w:rFonts w:ascii="Times New Roman"/>
          <w:b w:val="false"/>
          <w:i w:val="false"/>
          <w:color w:val="000000"/>
          <w:sz w:val="28"/>
        </w:rPr>
        <w:t xml:space="preserve">
      (iii) расходы, связанные с товарами, поставленными на основе контрактов, по которым произведено или согласовано финансирование со стороны любой национальной или международной финансовой организации или агентства, включая любые контракты, финансируемые в рамках займов или грантов АБР; </w:t>
      </w:r>
      <w:r>
        <w:br/>
      </w:r>
      <w:r>
        <w:rPr>
          <w:rFonts w:ascii="Times New Roman"/>
          <w:b w:val="false"/>
          <w:i w:val="false"/>
          <w:color w:val="000000"/>
          <w:sz w:val="28"/>
        </w:rPr>
        <w:t xml:space="preserve">
      (iv) расходы, связанные с товарами, предназначенными для военных или полувоенных целей, или с предметами роскоши; </w:t>
      </w:r>
      <w:r>
        <w:br/>
      </w:r>
      <w:r>
        <w:rPr>
          <w:rFonts w:ascii="Times New Roman"/>
          <w:b w:val="false"/>
          <w:i w:val="false"/>
          <w:color w:val="000000"/>
          <w:sz w:val="28"/>
        </w:rPr>
        <w:t xml:space="preserve">
      (v) расходы на наркотики; </w:t>
      </w:r>
      <w:r>
        <w:br/>
      </w:r>
      <w:r>
        <w:rPr>
          <w:rFonts w:ascii="Times New Roman"/>
          <w:b w:val="false"/>
          <w:i w:val="false"/>
          <w:color w:val="000000"/>
          <w:sz w:val="28"/>
        </w:rPr>
        <w:t xml:space="preserve">
      (vi) расходы на экологически опасные товары, производство, использование или импорт которых запрещен в соответствии с законодательством Заемщика или международными соглашениями, к которым присоединился Заемщик, и </w:t>
      </w:r>
      <w:r>
        <w:br/>
      </w:r>
      <w:r>
        <w:rPr>
          <w:rFonts w:ascii="Times New Roman"/>
          <w:b w:val="false"/>
          <w:i w:val="false"/>
          <w:color w:val="000000"/>
          <w:sz w:val="28"/>
        </w:rPr>
        <w:t xml:space="preserve">
      (vii) расходы, связанные с платежами, запрещенными Заемщиком в соответствии с решением Совета Безопасности Организации Объединенных Наций, принятым в соответствии с Главой VII Устава Организации Объединенных Наций. </w:t>
      </w:r>
    </w:p>
    <w:bookmarkStart w:name="z33" w:id="23"/>
    <w:p>
      <w:pPr>
        <w:spacing w:after="0"/>
        <w:ind w:left="0"/>
        <w:jc w:val="left"/>
      </w:pPr>
      <w:r>
        <w:rPr>
          <w:rFonts w:ascii="Times New Roman"/>
          <w:b/>
          <w:i w:val="false"/>
          <w:color w:val="000000"/>
        </w:rPr>
        <w:t xml:space="preserve"> 
ПРИЛОЖЕНИЕ 4</w:t>
      </w:r>
    </w:p>
    <w:bookmarkEnd w:id="23"/>
    <w:bookmarkStart w:name="z47" w:id="24"/>
    <w:p>
      <w:pPr>
        <w:spacing w:after="0"/>
        <w:ind w:left="0"/>
        <w:jc w:val="left"/>
      </w:pPr>
      <w:r>
        <w:rPr>
          <w:rFonts w:ascii="Times New Roman"/>
          <w:b/>
          <w:i w:val="false"/>
          <w:color w:val="000000"/>
        </w:rPr>
        <w:t xml:space="preserve"> 
Реализация Программы и другие вопросы</w:t>
      </w:r>
    </w:p>
    <w:bookmarkEnd w:id="24"/>
    <w:bookmarkStart w:name="z34"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Механизмы реализации</w:t>
      </w:r>
      <w:r>
        <w:br/>
      </w:r>
      <w:r>
        <w:rPr>
          <w:rFonts w:ascii="Times New Roman"/>
          <w:b w:val="false"/>
          <w:i w:val="false"/>
          <w:color w:val="000000"/>
          <w:sz w:val="28"/>
        </w:rPr>
        <w:t>
</w:t>
      </w:r>
      <w:r>
        <w:rPr>
          <w:rFonts w:ascii="Times New Roman"/>
          <w:b w:val="false"/>
          <w:i w:val="false"/>
          <w:color w:val="000000"/>
          <w:sz w:val="28"/>
        </w:rPr>
        <w:t xml:space="preserve">
      1. Заемщик назначит МФ Исполнительным агентством Программы, а Министерство национальной экономики, Министерство здравоохранения и социального развития и Министерство энергетики Заемщика в каждом случае, в том числе их любого правопреемника, и Национальный Банк - агентствами по реализации, которые будут нести общую ответственность за контроль реализации Программы, мер контрциклического развития и определение их влияния на ключевые макроэкономические и финансовые показатели Заемщика.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Политические мероприятия и диалог</w:t>
      </w:r>
      <w:r>
        <w:br/>
      </w:r>
      <w:r>
        <w:rPr>
          <w:rFonts w:ascii="Times New Roman"/>
          <w:b w:val="false"/>
          <w:i w:val="false"/>
          <w:color w:val="000000"/>
          <w:sz w:val="28"/>
        </w:rPr>
        <w:t>
</w:t>
      </w:r>
      <w:r>
        <w:rPr>
          <w:rFonts w:ascii="Times New Roman"/>
          <w:b w:val="false"/>
          <w:i w:val="false"/>
          <w:color w:val="000000"/>
          <w:sz w:val="28"/>
        </w:rPr>
        <w:t xml:space="preserve">
      2. Заемщик незамедлительно обсудит с АБР проблемы и ограничения, возникшие во время реализации Программы, а также соответствующие меры по их устранению и смягчению. </w:t>
      </w:r>
      <w:r>
        <w:br/>
      </w:r>
      <w:r>
        <w:rPr>
          <w:rFonts w:ascii="Times New Roman"/>
          <w:b w:val="false"/>
          <w:i w:val="false"/>
          <w:color w:val="000000"/>
          <w:sz w:val="28"/>
        </w:rPr>
        <w:t>
</w:t>
      </w:r>
      <w:r>
        <w:rPr>
          <w:rFonts w:ascii="Times New Roman"/>
          <w:b w:val="false"/>
          <w:i w:val="false"/>
          <w:color w:val="000000"/>
          <w:sz w:val="28"/>
        </w:rPr>
        <w:t xml:space="preserve">
      3. Заемщик будет информировать АБР в отношении обсуждений политики действий с другими многосторонними и двусторонними агентствами по оказанию помощи, которые могут иметь последствия для реализации Программы, и предоставит АБР возможность комментировать все вытекающие из них предложения по политике действий. Заемщик примет во внимание точку зрения АБР до окончательного утверждения и реализации любого такого предложения.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Использование Партнерского финансирования</w:t>
      </w:r>
      <w:r>
        <w:br/>
      </w:r>
      <w:r>
        <w:rPr>
          <w:rFonts w:ascii="Times New Roman"/>
          <w:b w:val="false"/>
          <w:i w:val="false"/>
          <w:color w:val="000000"/>
          <w:sz w:val="28"/>
        </w:rPr>
        <w:t>
</w:t>
      </w:r>
      <w:r>
        <w:rPr>
          <w:rFonts w:ascii="Times New Roman"/>
          <w:b w:val="false"/>
          <w:i w:val="false"/>
          <w:color w:val="000000"/>
          <w:sz w:val="28"/>
        </w:rPr>
        <w:t xml:space="preserve">
      4. Заемщик обеспечивает использование Партнерского финансирования для финансирования реализации определенных программ и мероприятий, соответствующих целям Программы.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Антикоррупционная политика и методы руководства</w:t>
      </w:r>
      <w:r>
        <w:br/>
      </w:r>
      <w:r>
        <w:rPr>
          <w:rFonts w:ascii="Times New Roman"/>
          <w:b w:val="false"/>
          <w:i w:val="false"/>
          <w:color w:val="000000"/>
          <w:sz w:val="28"/>
        </w:rPr>
        <w:t>
</w:t>
      </w:r>
      <w:r>
        <w:rPr>
          <w:rFonts w:ascii="Times New Roman"/>
          <w:b w:val="false"/>
          <w:i w:val="false"/>
          <w:color w:val="000000"/>
          <w:sz w:val="28"/>
        </w:rPr>
        <w:t xml:space="preserve">
      5. Заемщик обеспечивает: </w:t>
      </w:r>
      <w:r>
        <w:br/>
      </w:r>
      <w:r>
        <w:rPr>
          <w:rFonts w:ascii="Times New Roman"/>
          <w:b w:val="false"/>
          <w:i w:val="false"/>
          <w:color w:val="000000"/>
          <w:sz w:val="28"/>
        </w:rPr>
        <w:t xml:space="preserve">
      (a) соблюдение Антикоррупционной политики АБР (от 1998 года, с изменениями на соответствующую дату) и признает, что АБР оставляет за собой право, напрямую или через своих агентов, проводить расследование любых заявленных случаев коррупции, мошеннических действий, сговора или принуждения к сговору, относящихся к Программе; и </w:t>
      </w:r>
      <w:r>
        <w:br/>
      </w:r>
      <w:r>
        <w:rPr>
          <w:rFonts w:ascii="Times New Roman"/>
          <w:b w:val="false"/>
          <w:i w:val="false"/>
          <w:color w:val="000000"/>
          <w:sz w:val="28"/>
        </w:rPr>
        <w:t xml:space="preserve">
      (b) сотрудничество в рамках любого такого расследования и оказывает всю необходимую помощь для удовлетворительного завершения такого расследования.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Мониторинг и обзор</w:t>
      </w:r>
      <w:r>
        <w:br/>
      </w:r>
      <w:r>
        <w:rPr>
          <w:rFonts w:ascii="Times New Roman"/>
          <w:b w:val="false"/>
          <w:i w:val="false"/>
          <w:color w:val="000000"/>
          <w:sz w:val="28"/>
        </w:rPr>
        <w:t>
</w:t>
      </w:r>
      <w:r>
        <w:rPr>
          <w:rFonts w:ascii="Times New Roman"/>
          <w:b w:val="false"/>
          <w:i w:val="false"/>
          <w:color w:val="000000"/>
          <w:sz w:val="28"/>
        </w:rPr>
        <w:t>
      6. Заемщик обеспечивает на ежегодной основе представление АБР отчетов об: (а) условиях макроэкономического и финансового сектора; (b) расходах, произведенных из республиканского бюджета на поддержку мер контрциклического развития, а также исполнения бюджета; и (с) реализации мер контрциклического развития, в том числе о ходе реализации Программы «Нұрлы жол», новой экономической политики Заемщика, Программы Заемщика «</w:t>
      </w:r>
      <w:r>
        <w:rPr>
          <w:rFonts w:ascii="Times New Roman"/>
          <w:b w:val="false"/>
          <w:i w:val="false"/>
          <w:color w:val="000000"/>
          <w:sz w:val="28"/>
        </w:rPr>
        <w:t>Дорожная карта занятости 2020</w:t>
      </w:r>
      <w:r>
        <w:rPr>
          <w:rFonts w:ascii="Times New Roman"/>
          <w:b w:val="false"/>
          <w:i w:val="false"/>
          <w:color w:val="000000"/>
          <w:sz w:val="28"/>
        </w:rPr>
        <w:t>» и достижении установленных в них целей.</w:t>
      </w:r>
      <w:r>
        <w:br/>
      </w:r>
      <w:r>
        <w:rPr>
          <w:rFonts w:ascii="Times New Roman"/>
          <w:b w:val="false"/>
          <w:i w:val="false"/>
          <w:color w:val="000000"/>
          <w:sz w:val="28"/>
        </w:rPr>
        <w:t>
</w:t>
      </w:r>
      <w:r>
        <w:rPr>
          <w:rFonts w:ascii="Times New Roman"/>
          <w:b w:val="false"/>
          <w:i w:val="false"/>
          <w:color w:val="000000"/>
          <w:sz w:val="28"/>
        </w:rPr>
        <w:t xml:space="preserve">
      7. Заемщик обеспечивает представление АБР отчета о завершении программы в течение 8 месяцев после даты закрытия займа.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