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d193" w14:textId="4c4d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(Обычные операции) (проект реконструкции дороги ЦАРЭС Коридора 3 [участок дороги "Шымкент-Ташкент"]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val="false"/>
          <w:color w:val="000000"/>
          <w:sz w:val="28"/>
        </w:rPr>
        <w:t>Указ Президента Республики Казахстан от 13 мая 2013 года № 565</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мая 2013 года № 565</w:t>
      </w:r>
    </w:p>
    <w:bookmarkEnd w:id="1"/>
    <w:p>
      <w:pPr>
        <w:spacing w:after="0"/>
        <w:ind w:left="0"/>
        <w:jc w:val="both"/>
      </w:pPr>
      <w:r>
        <w:rPr>
          <w:rFonts w:ascii="Times New Roman"/>
          <w:b w:val="false"/>
          <w:i w:val="false"/>
          <w:color w:val="000000"/>
          <w:sz w:val="28"/>
        </w:rPr>
        <w:t>Проект</w:t>
      </w:r>
    </w:p>
    <w:bookmarkStart w:name="z5" w:id="2"/>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 (проект реконструкции дороги ЦАРЭС Коридора</w:t>
      </w:r>
      <w:r>
        <w:br/>
      </w:r>
      <w:r>
        <w:rPr>
          <w:rFonts w:ascii="Times New Roman"/>
          <w:b/>
          <w:i w:val="false"/>
          <w:color w:val="000000"/>
        </w:rPr>
        <w:t>
3 [участок дороги «Шымкент-Ташкент»] [подъезд к международному</w:t>
      </w:r>
      <w:r>
        <w:br/>
      </w:r>
      <w:r>
        <w:rPr>
          <w:rFonts w:ascii="Times New Roman"/>
          <w:b/>
          <w:i w:val="false"/>
          <w:color w:val="000000"/>
        </w:rPr>
        <w:t>
транзитному коридору «Западная Европа-Западная Китайская</w:t>
      </w:r>
      <w:r>
        <w:br/>
      </w:r>
      <w:r>
        <w:rPr>
          <w:rFonts w:ascii="Times New Roman"/>
          <w:b/>
          <w:i w:val="false"/>
          <w:color w:val="000000"/>
        </w:rPr>
        <w:t>
Народная Республика»]) между Республикой Казахстан</w:t>
      </w:r>
      <w:r>
        <w:br/>
      </w:r>
      <w:r>
        <w:rPr>
          <w:rFonts w:ascii="Times New Roman"/>
          <w:b/>
          <w:i w:val="false"/>
          <w:color w:val="000000"/>
        </w:rPr>
        <w:t>
и Азиатским Банком Развития</w:t>
      </w:r>
    </w:p>
    <w:bookmarkEnd w:id="2"/>
    <w:p>
      <w:pPr>
        <w:spacing w:after="0"/>
        <w:ind w:left="0"/>
        <w:jc w:val="both"/>
      </w:pPr>
      <w:r>
        <w:rPr>
          <w:rFonts w:ascii="Times New Roman"/>
          <w:b w:val="false"/>
          <w:i w:val="false"/>
          <w:color w:val="000000"/>
          <w:sz w:val="28"/>
        </w:rPr>
        <w:t>      СОГЛАШЕНИЕ О ЗАЙМЕ от __________ между РЕСПУБЛИКОЙ КАЗАХСТАН («Заемщик») и АЗИАТСКИМ БАНКОМ РАЗВИТИЯ («АБР»).</w:t>
      </w:r>
      <w:r>
        <w:br/>
      </w:r>
      <w:r>
        <w:rPr>
          <w:rFonts w:ascii="Times New Roman"/>
          <w:b w:val="false"/>
          <w:i w:val="false"/>
          <w:color w:val="000000"/>
          <w:sz w:val="28"/>
        </w:rPr>
        <w:t>
      ПРИНИМАЯ ВО ВНИМАНИЕ, ЧТО</w:t>
      </w:r>
      <w:r>
        <w:br/>
      </w:r>
      <w:r>
        <w:rPr>
          <w:rFonts w:ascii="Times New Roman"/>
          <w:b w:val="false"/>
          <w:i w:val="false"/>
          <w:color w:val="000000"/>
          <w:sz w:val="28"/>
        </w:rPr>
        <w:t>
      (А) заемщик обратился в АБР за займом в целях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и </w:t>
      </w:r>
      <w:r>
        <w:br/>
      </w:r>
      <w:r>
        <w:rPr>
          <w:rFonts w:ascii="Times New Roman"/>
          <w:b w:val="false"/>
          <w:i w:val="false"/>
          <w:color w:val="000000"/>
          <w:sz w:val="28"/>
        </w:rPr>
        <w:t>
      (Б) АБР согласился предоставить заемщику займ из обычных капитальных ресурсов АБР на сроки и условиях, представленных в настоящем документе;</w:t>
      </w:r>
      <w:r>
        <w:br/>
      </w:r>
      <w:r>
        <w:rPr>
          <w:rFonts w:ascii="Times New Roman"/>
          <w:b w:val="false"/>
          <w:i w:val="false"/>
          <w:color w:val="000000"/>
          <w:sz w:val="28"/>
        </w:rPr>
        <w:t>
      С УЧЕТОМ ВЫШЕИЗЛОЖЕННОГО стороны настоящего Соглашения договорились о следующем:</w:t>
      </w:r>
    </w:p>
    <w:bookmarkStart w:name="z6" w:id="3"/>
    <w:p>
      <w:pPr>
        <w:spacing w:after="0"/>
        <w:ind w:left="0"/>
        <w:jc w:val="left"/>
      </w:pPr>
      <w:r>
        <w:rPr>
          <w:rFonts w:ascii="Times New Roman"/>
          <w:b/>
          <w:i w:val="false"/>
          <w:color w:val="000000"/>
        </w:rPr>
        <w:t xml:space="preserve"> 
СТАТЬЯ I</w:t>
      </w:r>
    </w:p>
    <w:bookmarkEnd w:id="3"/>
    <w:bookmarkStart w:name="z7" w:id="4"/>
    <w:p>
      <w:pPr>
        <w:spacing w:after="0"/>
        <w:ind w:left="0"/>
        <w:jc w:val="left"/>
      </w:pPr>
      <w:r>
        <w:rPr>
          <w:rFonts w:ascii="Times New Roman"/>
          <w:b/>
          <w:i w:val="false"/>
          <w:color w:val="000000"/>
        </w:rPr>
        <w:t xml:space="preserve"> 
Правила предоставления займа; определения</w:t>
      </w:r>
    </w:p>
    <w:bookmarkEnd w:id="4"/>
    <w:bookmarkStart w:name="z29" w:id="5"/>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(«Правила предоставления займа»), настоящим считаются применимыми к настоящему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p>
    <w:bookmarkEnd w:id="5"/>
    <w:p>
      <w:pPr>
        <w:spacing w:after="0"/>
        <w:ind w:left="0"/>
        <w:jc w:val="both"/>
      </w:pPr>
      <w:r>
        <w:rPr>
          <w:rFonts w:ascii="Times New Roman"/>
          <w:b w:val="false"/>
          <w:i w:val="false"/>
          <w:color w:val="000000"/>
          <w:sz w:val="28"/>
        </w:rPr>
        <w:t>      (а) раздел 3.03 исключен и заменен нижеследующим:</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p>
    <w:bookmarkEnd w:id="6"/>
    <w:p>
      <w:pPr>
        <w:spacing w:after="0"/>
        <w:ind w:left="0"/>
        <w:jc w:val="both"/>
      </w:pPr>
      <w:r>
        <w:rPr>
          <w:rFonts w:ascii="Times New Roman"/>
          <w:b w:val="false"/>
          <w:i w:val="false"/>
          <w:color w:val="000000"/>
          <w:sz w:val="28"/>
        </w:rPr>
        <w:t xml:space="preserve">      (а) Заемщик выплатит комиссию за резервирование по невостребованной сумме займа по ставке и условиям, предусмотренным Соглашением о займе. </w:t>
      </w:r>
      <w:r>
        <w:br/>
      </w:r>
      <w:r>
        <w:rPr>
          <w:rFonts w:ascii="Times New Roman"/>
          <w:b w:val="false"/>
          <w:i w:val="false"/>
          <w:color w:val="000000"/>
          <w:sz w:val="28"/>
        </w:rPr>
        <w:t>
      (b) АБР предоставит заемщику кредит по ставке, предусмотренной в данном Соглашении о займе, причем такой кредит останется фиксированным до конца срока займа. АБР применит сумму кредита к процентам, подлежащим уплате заемщиком.</w:t>
      </w:r>
    </w:p>
    <w:p>
      <w:pPr>
        <w:spacing w:after="0"/>
        <w:ind w:left="0"/>
        <w:jc w:val="both"/>
      </w:pPr>
      <w:r>
        <w:rPr>
          <w:rFonts w:ascii="Times New Roman"/>
          <w:b w:val="false"/>
          <w:i w:val="false"/>
          <w:color w:val="000000"/>
          <w:sz w:val="28"/>
        </w:rPr>
        <w:t>      (b) раздел 3.06 исключен и заменен нижеследующим:</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p>
    <w:bookmarkEnd w:id="7"/>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предоставит возмещение каждому заемщику с невостребованным займом, к которому применим более высокий фиксированный спред. Сумма возмещения будем определена путем умножения (i) разницы между фиксированным спредом, применимым к невостребованном)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выплатит проценты в течение всех процентных периодов, начиная с и после даты вступления в силу более низкого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предоставит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применит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c) Раздел 3.07 исключен и заменен нижеследующим:</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p>
    <w:bookmarkEnd w:id="8"/>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выплатит АБР дополнительную сумму. Размер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выплатит проценты в течение всех процентных периодов, начиная с и после даты вступления в силу более высокого фиксированного спреда, применимого к новым займам.</w:t>
      </w:r>
      <w:r>
        <w:br/>
      </w:r>
      <w:r>
        <w:rPr>
          <w:rFonts w:ascii="Times New Roman"/>
          <w:b w:val="false"/>
          <w:i w:val="false"/>
          <w:color w:val="000000"/>
          <w:sz w:val="28"/>
        </w:rPr>
        <w:t xml:space="preserve">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выплатит АБР дополнительную сумму. Размер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прибавит размер дополнительной суммы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 </w:t>
      </w:r>
    </w:p>
    <w:bookmarkStart w:name="z30" w:id="9"/>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в настоящем документе не даны определения или иное не требуется по контексту, некоторые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настоящем Соглашении о займе, имеют нижеследующие значения:</w:t>
      </w:r>
      <w:r>
        <w:br/>
      </w:r>
      <w:r>
        <w:rPr>
          <w:rFonts w:ascii="Times New Roman"/>
          <w:b w:val="false"/>
          <w:i w:val="false"/>
          <w:color w:val="000000"/>
          <w:sz w:val="28"/>
        </w:rPr>
        <w:t>
      (а) «ЦАРЭС» означает Центрально-Азиатское региональное экономическое сотрудничество;</w:t>
      </w:r>
      <w:r>
        <w:br/>
      </w:r>
      <w:r>
        <w:rPr>
          <w:rFonts w:ascii="Times New Roman"/>
          <w:b w:val="false"/>
          <w:i w:val="false"/>
          <w:color w:val="000000"/>
          <w:sz w:val="28"/>
        </w:rPr>
        <w:t>
      (b) «ЦАРЭС Коридор 3» означает транспортный коридор, соединяющий Российскую Федерацию с Ближним Востоком и Южной Азией через такие страны, как Исламская Республика Афганистан, Республика Казахстан, Кыргызская Республика, Республика Таджикистан и Республика Узбекистан;</w:t>
      </w:r>
      <w:r>
        <w:br/>
      </w:r>
      <w:r>
        <w:rPr>
          <w:rFonts w:ascii="Times New Roman"/>
          <w:b w:val="false"/>
          <w:i w:val="false"/>
          <w:color w:val="000000"/>
          <w:sz w:val="28"/>
        </w:rPr>
        <w:t>
      (с) «Руководство по привлечению консультационных услуг» означает руководство по использованию консультантов Азиатским Банком Развития и его заемщиками (2010 год, с периодическими поправками);</w:t>
      </w:r>
      <w:r>
        <w:br/>
      </w:r>
      <w:r>
        <w:rPr>
          <w:rFonts w:ascii="Times New Roman"/>
          <w:b w:val="false"/>
          <w:i w:val="false"/>
          <w:color w:val="000000"/>
          <w:sz w:val="28"/>
        </w:rPr>
        <w:t>
      (d) «Консультационные услуги» означает услуги, которые будут финансироваться из средств займа, как описано в </w:t>
      </w:r>
      <w:r>
        <w:rPr>
          <w:rFonts w:ascii="Times New Roman"/>
          <w:b w:val="false"/>
          <w:i w:val="false"/>
          <w:color w:val="000000"/>
          <w:sz w:val="28"/>
        </w:rPr>
        <w:t>пункте 2</w:t>
      </w:r>
      <w:r>
        <w:rPr>
          <w:rFonts w:ascii="Times New Roman"/>
          <w:b w:val="false"/>
          <w:i w:val="false"/>
          <w:color w:val="000000"/>
          <w:sz w:val="28"/>
        </w:rPr>
        <w:t xml:space="preserve">(b) приложения 1 к настоящему Соглашению о займе; </w:t>
      </w:r>
      <w:r>
        <w:br/>
      </w:r>
      <w:r>
        <w:rPr>
          <w:rFonts w:ascii="Times New Roman"/>
          <w:b w:val="false"/>
          <w:i w:val="false"/>
          <w:color w:val="000000"/>
          <w:sz w:val="28"/>
        </w:rPr>
        <w:t>
      (e) «ПУОС» означает план управления окружающей средой по проекту, включая любые вносимые в него изменения, объединенные в ПЭО;</w:t>
      </w:r>
      <w:r>
        <w:br/>
      </w:r>
      <w:r>
        <w:rPr>
          <w:rFonts w:ascii="Times New Roman"/>
          <w:b w:val="false"/>
          <w:i w:val="false"/>
          <w:color w:val="000000"/>
          <w:sz w:val="28"/>
        </w:rPr>
        <w:t>
      (f) «Защитные меры окружающей среды» означает принципы и требования, изложенные в главе V, приложении 1 и приложении 4 (если применимо) ПМЗ;</w:t>
      </w:r>
      <w:r>
        <w:br/>
      </w:r>
      <w:r>
        <w:rPr>
          <w:rFonts w:ascii="Times New Roman"/>
          <w:b w:val="false"/>
          <w:i w:val="false"/>
          <w:color w:val="000000"/>
          <w:sz w:val="28"/>
        </w:rPr>
        <w:t>
      (g) «ПЭО» означает предварительную экологическую оценку по проекту,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(h) «Защитные меры вынужденного переселения» означает принципы и требования, изложенные в главе V, приложении 2 и приложении 4 (если применимо) ПМЗ;</w:t>
      </w:r>
      <w:r>
        <w:br/>
      </w:r>
      <w:r>
        <w:rPr>
          <w:rFonts w:ascii="Times New Roman"/>
          <w:b w:val="false"/>
          <w:i w:val="false"/>
          <w:color w:val="000000"/>
          <w:sz w:val="28"/>
        </w:rPr>
        <w:t>
      (i) «Км» означает место с указанием количества километров на проектной дороге, как определено ниже, и "км" означает километры;</w:t>
      </w:r>
      <w:r>
        <w:br/>
      </w:r>
      <w:r>
        <w:rPr>
          <w:rFonts w:ascii="Times New Roman"/>
          <w:b w:val="false"/>
          <w:i w:val="false"/>
          <w:color w:val="000000"/>
          <w:sz w:val="28"/>
        </w:rPr>
        <w:t>
      (j) «РДВЗП» означает рамочный документ по выкупу земель и переселению для проекта, включая любые вносимые в него изменения, подготовленный и представленный заемщиком и одобренный АБР;</w:t>
      </w:r>
      <w:r>
        <w:br/>
      </w:r>
      <w:r>
        <w:rPr>
          <w:rFonts w:ascii="Times New Roman"/>
          <w:b w:val="false"/>
          <w:i w:val="false"/>
          <w:color w:val="000000"/>
          <w:sz w:val="28"/>
        </w:rPr>
        <w:t>
      (k) «ПВЗП» означает план выкупа земель и переселения для проекта, включая любые вносимые в него изменения, подготовленный и представленный заемщиком и одобренный АБР;</w:t>
      </w:r>
      <w:r>
        <w:br/>
      </w:r>
      <w:r>
        <w:rPr>
          <w:rFonts w:ascii="Times New Roman"/>
          <w:b w:val="false"/>
          <w:i w:val="false"/>
          <w:color w:val="000000"/>
          <w:sz w:val="28"/>
        </w:rPr>
        <w:t>
      (l) «Справочник по расходованию средств займа» означает справочник АБР по расходованию средств займа (2012 год, с периодическими поправками);</w:t>
      </w:r>
      <w:r>
        <w:br/>
      </w:r>
      <w:r>
        <w:rPr>
          <w:rFonts w:ascii="Times New Roman"/>
          <w:b w:val="false"/>
          <w:i w:val="false"/>
          <w:color w:val="000000"/>
          <w:sz w:val="28"/>
        </w:rPr>
        <w:t>
      (m) «MTK» означает Министерство транспорта и коммуникаций заемщика и любой его правопреемник;</w:t>
      </w:r>
      <w:r>
        <w:br/>
      </w:r>
      <w:r>
        <w:rPr>
          <w:rFonts w:ascii="Times New Roman"/>
          <w:b w:val="false"/>
          <w:i w:val="false"/>
          <w:color w:val="000000"/>
          <w:sz w:val="28"/>
        </w:rPr>
        <w:t>
      (n) «Область» означает территориальную административную единицу заемщика;</w:t>
      </w:r>
      <w:r>
        <w:br/>
      </w:r>
      <w:r>
        <w:rPr>
          <w:rFonts w:ascii="Times New Roman"/>
          <w:b w:val="false"/>
          <w:i w:val="false"/>
          <w:color w:val="000000"/>
          <w:sz w:val="28"/>
        </w:rPr>
        <w:t>
      (о) «РУП» означает руководство по управлению проектом для проекта от 22 августа 2012 года, согласованное между заемщиком и АБР, с периодическими обновлениями в соответствии с соответствующими административными процедурами заемщика и АБР;</w:t>
      </w:r>
      <w:r>
        <w:br/>
      </w:r>
      <w:r>
        <w:rPr>
          <w:rFonts w:ascii="Times New Roman"/>
          <w:b w:val="false"/>
          <w:i w:val="false"/>
          <w:color w:val="000000"/>
          <w:sz w:val="28"/>
        </w:rPr>
        <w:t>
      (p) «Руководство по закупкам» означает руководство по закупкам АБР (2010 год, с периодическими поправками);</w:t>
      </w:r>
      <w:r>
        <w:br/>
      </w:r>
      <w:r>
        <w:rPr>
          <w:rFonts w:ascii="Times New Roman"/>
          <w:b w:val="false"/>
          <w:i w:val="false"/>
          <w:color w:val="000000"/>
          <w:sz w:val="28"/>
        </w:rPr>
        <w:t>
      (q) «План закупок» означает план закупок для проекта от 22 августа 2012 года и согласованный между заемщиком и АБР с периодическими обновлениями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(r) «Исполнительное Агентство по проекту» для целей и в рамках определения Правил предоставления займа означает МТК, ответственное за исполнение проекта;</w:t>
      </w:r>
      <w:r>
        <w:br/>
      </w:r>
      <w:r>
        <w:rPr>
          <w:rFonts w:ascii="Times New Roman"/>
          <w:b w:val="false"/>
          <w:i w:val="false"/>
          <w:color w:val="000000"/>
          <w:sz w:val="28"/>
        </w:rPr>
        <w:t>
      (s) «Проектная дорога» означает участок дороги, который будет реконструирован в рамках проекта, как описано более подробно в </w:t>
      </w:r>
      <w:r>
        <w:rPr>
          <w:rFonts w:ascii="Times New Roman"/>
          <w:b w:val="false"/>
          <w:i w:val="false"/>
          <w:color w:val="000000"/>
          <w:sz w:val="28"/>
        </w:rPr>
        <w:t>пункте 2</w:t>
      </w:r>
      <w:r>
        <w:rPr>
          <w:rFonts w:ascii="Times New Roman"/>
          <w:b w:val="false"/>
          <w:i w:val="false"/>
          <w:color w:val="000000"/>
          <w:sz w:val="28"/>
        </w:rPr>
        <w:t>(a) </w:t>
      </w:r>
      <w:r>
        <w:rPr>
          <w:rFonts w:ascii="Times New Roman"/>
          <w:b w:val="false"/>
          <w:i w:val="false"/>
          <w:color w:val="000000"/>
          <w:sz w:val="28"/>
        </w:rPr>
        <w:t>приложения 1</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(t) «Отчет по мониторингу выполнения защитных мер» означает каждый отчет, подготовленный и представленный заемщиком в АБР, описывающий прогресс в реализации и соответствие ПУОС и ПВЗП (если применимо), включая любые корректирующие и предупреждающие действия;</w:t>
      </w:r>
      <w:r>
        <w:br/>
      </w:r>
      <w:r>
        <w:rPr>
          <w:rFonts w:ascii="Times New Roman"/>
          <w:b w:val="false"/>
          <w:i w:val="false"/>
          <w:color w:val="000000"/>
          <w:sz w:val="28"/>
        </w:rPr>
        <w:t>
      (u) «ПМЗ» означает политику по мерам защиты АБР (2009 год); и</w:t>
      </w:r>
      <w:r>
        <w:br/>
      </w:r>
      <w:r>
        <w:rPr>
          <w:rFonts w:ascii="Times New Roman"/>
          <w:b w:val="false"/>
          <w:i w:val="false"/>
          <w:color w:val="000000"/>
          <w:sz w:val="28"/>
        </w:rPr>
        <w:t>
      (v)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bookmarkEnd w:id="9"/>
    <w:bookmarkStart w:name="z11" w:id="10"/>
    <w:p>
      <w:pPr>
        <w:spacing w:after="0"/>
        <w:ind w:left="0"/>
        <w:jc w:val="left"/>
      </w:pPr>
      <w:r>
        <w:rPr>
          <w:rFonts w:ascii="Times New Roman"/>
          <w:b/>
          <w:i w:val="false"/>
          <w:color w:val="000000"/>
        </w:rPr>
        <w:t xml:space="preserve"> 
СТАТЬЯ II</w:t>
      </w:r>
    </w:p>
    <w:bookmarkEnd w:id="10"/>
    <w:bookmarkStart w:name="z12" w:id="11"/>
    <w:p>
      <w:pPr>
        <w:spacing w:after="0"/>
        <w:ind w:left="0"/>
        <w:jc w:val="left"/>
      </w:pPr>
      <w:r>
        <w:rPr>
          <w:rFonts w:ascii="Times New Roman"/>
          <w:b/>
          <w:i w:val="false"/>
          <w:color w:val="000000"/>
        </w:rPr>
        <w:t xml:space="preserve"> 
Заем</w:t>
      </w:r>
    </w:p>
    <w:bookmarkEnd w:id="11"/>
    <w:bookmarkStart w:name="z31" w:id="12"/>
    <w:p>
      <w:pPr>
        <w:spacing w:after="0"/>
        <w:ind w:left="0"/>
        <w:jc w:val="both"/>
      </w:pPr>
      <w:r>
        <w:rPr>
          <w:rFonts w:ascii="Times New Roman"/>
          <w:b w:val="false"/>
          <w:i w:val="false"/>
          <w:color w:val="000000"/>
          <w:sz w:val="28"/>
        </w:rPr>
        <w:t>
      Раздел 2.01. (а) АБР соглашается предоставить заем заемщику из обычных капитальных ресурсов АБР на сумму сто двадцать пять миллионов долларов США ($125,000,000), причем данная сумма может быть периодически конвертирована путем валютной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(b) Заем предполагает период основного погашения 16 лет и льготный период, определенный в пункте (с) данного раздела.</w:t>
      </w:r>
      <w:r>
        <w:br/>
      </w:r>
      <w:r>
        <w:rPr>
          <w:rFonts w:ascii="Times New Roman"/>
          <w:b w:val="false"/>
          <w:i w:val="false"/>
          <w:color w:val="000000"/>
          <w:sz w:val="28"/>
        </w:rPr>
        <w:t>
      (c) Термин «льготный период», используемый в пункте (b) выше,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Раздел 2.02.Заемщик будет выплачивать АБР проценты на основную сумму займа, снятую и невостребованную, периодически, по ставке каждого процентного периода, равной сумме:</w:t>
      </w:r>
      <w:r>
        <w:br/>
      </w:r>
      <w:r>
        <w:rPr>
          <w:rFonts w:ascii="Times New Roman"/>
          <w:b w:val="false"/>
          <w:i w:val="false"/>
          <w:color w:val="000000"/>
          <w:sz w:val="28"/>
        </w:rPr>
        <w:t>
      (а) ЛИБОР; и</w:t>
      </w:r>
      <w:r>
        <w:br/>
      </w:r>
      <w:r>
        <w:rPr>
          <w:rFonts w:ascii="Times New Roman"/>
          <w:b w:val="false"/>
          <w:i w:val="false"/>
          <w:color w:val="000000"/>
          <w:sz w:val="28"/>
        </w:rPr>
        <w:t>
      (b) 0.60 % годовых согласно разделу 3.02 Правил предоставления займа, минус кредит 0.20 % годовых согласно разделу 3.03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2.03. Заемщик выплатит комиссию за резервирование в сумме 0.15 % годовых. Данная комиссия начисляется на полную сумму займа (минус суммы, снимаемые периодически), начиная с даты по истечении 60 (шестидесяти) дней после даты подписания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15 декабря и 15 июня каждого года.</w:t>
      </w:r>
      <w:r>
        <w:br/>
      </w:r>
      <w:r>
        <w:rPr>
          <w:rFonts w:ascii="Times New Roman"/>
          <w:b w:val="false"/>
          <w:i w:val="false"/>
          <w:color w:val="000000"/>
          <w:sz w:val="28"/>
        </w:rPr>
        <w:t>
</w:t>
      </w:r>
      <w:r>
        <w:rPr>
          <w:rFonts w:ascii="Times New Roman"/>
          <w:b w:val="false"/>
          <w:i w:val="false"/>
          <w:color w:val="000000"/>
          <w:sz w:val="28"/>
        </w:rPr>
        <w:t>
      Раздел 2.05. Заемщик выплатит основную сумму займа, снятую со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Раздел 2.06.(а) Заемщик вправе в любое время запросить любую из нижеследующих конвертаций условий займа с целью обеспечения рационального управления долгом:</w:t>
      </w:r>
      <w:r>
        <w:br/>
      </w:r>
      <w:r>
        <w:rPr>
          <w:rFonts w:ascii="Times New Roman"/>
          <w:b w:val="false"/>
          <w:i w:val="false"/>
          <w:color w:val="000000"/>
          <w:sz w:val="28"/>
        </w:rPr>
        <w:t>
      (i) изменение валюты займа полной или части основной суммы займа, снятой и невостребованной или неснятой, на утвержденную валюту;</w:t>
      </w:r>
      <w:r>
        <w:br/>
      </w:r>
      <w:r>
        <w:rPr>
          <w:rFonts w:ascii="Times New Roman"/>
          <w:b w:val="false"/>
          <w:i w:val="false"/>
          <w:color w:val="000000"/>
          <w:sz w:val="28"/>
        </w:rPr>
        <w:t>
      (ii) изменение базы процентной ставки, применимой к полной или частичной основной сумме займа, снятой и невостребованной, с плавающей процентной ставки на фиксированную или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снятой и невостребованной, путем установления максимума или минимума указанной плавающей процентной ставки.</w:t>
      </w:r>
      <w:r>
        <w:br/>
      </w:r>
      <w:r>
        <w:rPr>
          <w:rFonts w:ascii="Times New Roman"/>
          <w:b w:val="false"/>
          <w:i w:val="false"/>
          <w:color w:val="000000"/>
          <w:sz w:val="28"/>
        </w:rPr>
        <w:t>
      (b) Любая конвертация, запрошенная в соответствии с пунктом (а) данного раздела, одобренная АБР, будет считаться «Конвертацией» по определению раздела 2.01(6) Правил предоставления займа и должна будет вступить в силу в соответствии с положениями статьи V Правил предоставления займа и руководства по конвертации.</w:t>
      </w:r>
    </w:p>
    <w:bookmarkEnd w:id="12"/>
    <w:bookmarkStart w:name="z13" w:id="13"/>
    <w:p>
      <w:pPr>
        <w:spacing w:after="0"/>
        <w:ind w:left="0"/>
        <w:jc w:val="left"/>
      </w:pPr>
      <w:r>
        <w:rPr>
          <w:rFonts w:ascii="Times New Roman"/>
          <w:b/>
          <w:i w:val="false"/>
          <w:color w:val="000000"/>
        </w:rPr>
        <w:t xml:space="preserve"> 
СТАТЬЯ III</w:t>
      </w:r>
    </w:p>
    <w:bookmarkEnd w:id="13"/>
    <w:bookmarkStart w:name="z14" w:id="14"/>
    <w:p>
      <w:pPr>
        <w:spacing w:after="0"/>
        <w:ind w:left="0"/>
        <w:jc w:val="left"/>
      </w:pPr>
      <w:r>
        <w:rPr>
          <w:rFonts w:ascii="Times New Roman"/>
          <w:b/>
          <w:i w:val="false"/>
          <w:color w:val="000000"/>
        </w:rPr>
        <w:t xml:space="preserve"> 
Использование средств займа</w:t>
      </w:r>
    </w:p>
    <w:bookmarkEnd w:id="14"/>
    <w:bookmarkStart w:name="z37" w:id="15"/>
    <w:p>
      <w:pPr>
        <w:spacing w:after="0"/>
        <w:ind w:left="0"/>
        <w:jc w:val="both"/>
      </w:pPr>
      <w:r>
        <w:rPr>
          <w:rFonts w:ascii="Times New Roman"/>
          <w:b w:val="false"/>
          <w:i w:val="false"/>
          <w:color w:val="000000"/>
          <w:sz w:val="28"/>
        </w:rPr>
        <w:t>
      Раздел 3.01. Заемщик обеспечит использование средств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3.02. Средства займа должны выделяться и сниматься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о займе, при этом допустимо периодическое внесение изменений в данное приложение по согласованию между заемщиком и АБР.</w:t>
      </w:r>
      <w:r>
        <w:br/>
      </w:r>
      <w:r>
        <w:rPr>
          <w:rFonts w:ascii="Times New Roman"/>
          <w:b w:val="false"/>
          <w:i w:val="false"/>
          <w:color w:val="000000"/>
          <w:sz w:val="28"/>
        </w:rPr>
        <w:t>
</w:t>
      </w:r>
      <w:r>
        <w:rPr>
          <w:rFonts w:ascii="Times New Roman"/>
          <w:b w:val="false"/>
          <w:i w:val="false"/>
          <w:color w:val="000000"/>
          <w:sz w:val="28"/>
        </w:rPr>
        <w:t>
      Раздел 3.03. Если АБР не согласовано иное, заемщик будет закупать или обеспечит закуп статей расходов за счет средств займа в соответствии с положениями </w:t>
      </w:r>
      <w:r>
        <w:rPr>
          <w:rFonts w:ascii="Times New Roman"/>
          <w:b w:val="false"/>
          <w:i w:val="false"/>
          <w:color w:val="000000"/>
          <w:sz w:val="28"/>
        </w:rPr>
        <w:t>приложения 4</w:t>
      </w:r>
      <w:r>
        <w:rPr>
          <w:rFonts w:ascii="Times New Roman"/>
          <w:b w:val="false"/>
          <w:i w:val="false"/>
          <w:color w:val="000000"/>
          <w:sz w:val="28"/>
        </w:rPr>
        <w:t xml:space="preserve"> к настоящему Соглашению о займе. АБР вправе отказать в финансировании контракта, по которому любые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w:t>
      </w:r>
      <w:r>
        <w:rPr>
          <w:rFonts w:ascii="Times New Roman"/>
          <w:b w:val="false"/>
          <w:i w:val="false"/>
          <w:color w:val="000000"/>
          <w:sz w:val="28"/>
        </w:rPr>
        <w:t>
      Раздел 3.04. Кроме случаев, когда АБР может согласиться на иное, заемщик обеспечит, чтобы все статьи расходов, финансируемых за счет средств займа, были использованы исключительно в целях исполнения проекта.</w:t>
      </w:r>
      <w:r>
        <w:br/>
      </w:r>
      <w:r>
        <w:rPr>
          <w:rFonts w:ascii="Times New Roman"/>
          <w:b w:val="false"/>
          <w:i w:val="false"/>
          <w:color w:val="000000"/>
          <w:sz w:val="28"/>
        </w:rPr>
        <w:t>
</w:t>
      </w:r>
      <w:r>
        <w:rPr>
          <w:rFonts w:ascii="Times New Roman"/>
          <w:b w:val="false"/>
          <w:i w:val="false"/>
          <w:color w:val="000000"/>
          <w:sz w:val="28"/>
        </w:rPr>
        <w:t>
      Раздел 3.05. Дата закрытия займа для целей раздела 9.02 Правил предоставления займа считается 30 июня 2016 года, либо такая другая дата, которая может периодически согласовываться между заемщиком и АБР.</w:t>
      </w:r>
    </w:p>
    <w:bookmarkEnd w:id="15"/>
    <w:bookmarkStart w:name="z15" w:id="16"/>
    <w:p>
      <w:pPr>
        <w:spacing w:after="0"/>
        <w:ind w:left="0"/>
        <w:jc w:val="left"/>
      </w:pPr>
      <w:r>
        <w:rPr>
          <w:rFonts w:ascii="Times New Roman"/>
          <w:b/>
          <w:i w:val="false"/>
          <w:color w:val="000000"/>
        </w:rPr>
        <w:t xml:space="preserve"> 
СТАТЬЯ IV</w:t>
      </w:r>
    </w:p>
    <w:bookmarkEnd w:id="16"/>
    <w:bookmarkStart w:name="z16" w:id="17"/>
    <w:p>
      <w:pPr>
        <w:spacing w:after="0"/>
        <w:ind w:left="0"/>
        <w:jc w:val="left"/>
      </w:pPr>
      <w:r>
        <w:rPr>
          <w:rFonts w:ascii="Times New Roman"/>
          <w:b/>
          <w:i w:val="false"/>
          <w:color w:val="000000"/>
        </w:rPr>
        <w:t xml:space="preserve"> 
Особые условия</w:t>
      </w:r>
    </w:p>
    <w:bookmarkEnd w:id="17"/>
    <w:bookmarkStart w:name="z42" w:id="18"/>
    <w:p>
      <w:pPr>
        <w:spacing w:after="0"/>
        <w:ind w:left="0"/>
        <w:jc w:val="both"/>
      </w:pPr>
      <w:r>
        <w:rPr>
          <w:rFonts w:ascii="Times New Roman"/>
          <w:b w:val="false"/>
          <w:i w:val="false"/>
          <w:color w:val="000000"/>
          <w:sz w:val="28"/>
        </w:rPr>
        <w:t>
      Раздел 4.01. (а) Заемщик обеспечит исполнение проекта с должной ответственностью и эффективностью и в соответствии с рациональными применимыми техническими, финансовыми, деловыми практиками и практиками развития.</w:t>
      </w:r>
      <w:r>
        <w:br/>
      </w:r>
      <w:r>
        <w:rPr>
          <w:rFonts w:ascii="Times New Roman"/>
          <w:b w:val="false"/>
          <w:i w:val="false"/>
          <w:color w:val="000000"/>
          <w:sz w:val="28"/>
        </w:rPr>
        <w:t>
      (b) В процессе реализации проекта и эксплуатации проектных объектов заемщик исполнит либо обеспечит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r>
        <w:br/>
      </w:r>
      <w:r>
        <w:rPr>
          <w:rFonts w:ascii="Times New Roman"/>
          <w:b w:val="false"/>
          <w:i w:val="false"/>
          <w:color w:val="000000"/>
          <w:sz w:val="28"/>
        </w:rPr>
        <w:t>
</w:t>
      </w:r>
      <w:r>
        <w:rPr>
          <w:rFonts w:ascii="Times New Roman"/>
          <w:b w:val="false"/>
          <w:i w:val="false"/>
          <w:color w:val="000000"/>
          <w:sz w:val="28"/>
        </w:rPr>
        <w:t>
      Раздел 4.03.(а) В тех случаях, когда применимо, в процессе реализации проекта заемщик обеспечит наем компетентных и квалифицированных консультантов и подрядчиков, приемлемых для АБР, в степени, на сроки и условиях, отвечающих требованиям заемщика и АБР.</w:t>
      </w:r>
      <w:r>
        <w:br/>
      </w:r>
      <w:r>
        <w:rPr>
          <w:rFonts w:ascii="Times New Roman"/>
          <w:b w:val="false"/>
          <w:i w:val="false"/>
          <w:color w:val="000000"/>
          <w:sz w:val="28"/>
        </w:rPr>
        <w:t>
      (b) Заемщик обеспечит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в тех случаях, когда применимо. Заемщик предоставит либо обеспечит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w:t>
      </w:r>
      <w:r>
        <w:rPr>
          <w:rFonts w:ascii="Times New Roman"/>
          <w:b w:val="false"/>
          <w:i w:val="false"/>
          <w:color w:val="000000"/>
          <w:sz w:val="28"/>
        </w:rPr>
        <w:t>
      Раздел 4.04. Заемщик обеспечит, что все действия его ведомств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w:t>
      </w:r>
      <w:r>
        <w:rPr>
          <w:rFonts w:ascii="Times New Roman"/>
          <w:b w:val="false"/>
          <w:i w:val="false"/>
          <w:color w:val="000000"/>
          <w:sz w:val="28"/>
        </w:rPr>
        <w:t>
      Раздел 4.05. (а) Заемщик обеспечит (i) ведение отдельных счетов и отдельной отчетности для проекта; (ii) подготовку годовой финансовой отчетности по проекту в соответствии с принципами бухгалтерского учета, приемлемыми для АБР; (iii) проведение ежегодного аудита такой финансовой отчетности независимыми аудиторами, чьи квалификация, опыт работы и техническое задание отвечают требованиям АБР, в соответствии с международными стандартами аудита или равноценными национальными стандартами, приемлемыми для АБР; (iv) в рамках каждого такого аудита, подготовку аудиторами отчета (в том числе заключение аудиторов об использовании средств займа) и письма руководству (в котором излагаются недостатки во внутреннем контроле проекта, которые были выявлены в ходе аудита, если таковые имеются); и (v) предоставление АБР в срок не позже, чем по истечении шести месяцев с момента окончания каждого соответствующего фискального года копий таких финансовых отчетов, прошедших аудит, отчета по аудиту и письма руководству на английском языке, а также прочей информации, имеющей отношение к данным документам и аудиту, по периодическому обоснованному требованию АБР.</w:t>
      </w:r>
      <w:r>
        <w:br/>
      </w:r>
      <w:r>
        <w:rPr>
          <w:rFonts w:ascii="Times New Roman"/>
          <w:b w:val="false"/>
          <w:i w:val="false"/>
          <w:color w:val="000000"/>
          <w:sz w:val="28"/>
        </w:rPr>
        <w:t xml:space="preserve">
      (b) АБР раскроет годовую аудированную финансовую отчетность по проекту и заключение аудиторов о финансовой отчетности в течение 30 дней с даты их получения путем опубликования их на веб-сайте АБР. </w:t>
      </w:r>
      <w:r>
        <w:br/>
      </w:r>
      <w:r>
        <w:rPr>
          <w:rFonts w:ascii="Times New Roman"/>
          <w:b w:val="false"/>
          <w:i w:val="false"/>
          <w:color w:val="000000"/>
          <w:sz w:val="28"/>
        </w:rPr>
        <w:t xml:space="preserve">
      (c) Заемщик предоставит АБР право, по запросу АБР, обсуждать финансовые отчеты для проекта и финансовые дела заемщика, имеющие отношение к проекту, с аудиторами, назначенными в соответствии с пунктом (a)(iii), приведенным выше, и уполномочит и потребует, чтобы любой из представителей таких аудиторов принял участие в любом данном обсуждении по запросу АБР. Условием является то, что такое обсуждение будет проводиться только в присутствии уполномоченного представителя заемщика, если заемщик не согласился на иное. </w:t>
      </w:r>
      <w:r>
        <w:br/>
      </w:r>
      <w:r>
        <w:rPr>
          <w:rFonts w:ascii="Times New Roman"/>
          <w:b w:val="false"/>
          <w:i w:val="false"/>
          <w:color w:val="000000"/>
          <w:sz w:val="28"/>
        </w:rPr>
        <w:t>
</w:t>
      </w:r>
      <w:r>
        <w:rPr>
          <w:rFonts w:ascii="Times New Roman"/>
          <w:b w:val="false"/>
          <w:i w:val="false"/>
          <w:color w:val="000000"/>
          <w:sz w:val="28"/>
        </w:rPr>
        <w:t>
      Раздел 4.06. Заемщик предоставит право представителям АБР инспектировать проект и работы, а также любые соответствующие отчеты и документы.</w:t>
      </w:r>
      <w:r>
        <w:br/>
      </w:r>
      <w:r>
        <w:rPr>
          <w:rFonts w:ascii="Times New Roman"/>
          <w:b w:val="false"/>
          <w:i w:val="false"/>
          <w:color w:val="000000"/>
          <w:sz w:val="28"/>
        </w:rPr>
        <w:t>
</w:t>
      </w:r>
      <w:r>
        <w:rPr>
          <w:rFonts w:ascii="Times New Roman"/>
          <w:b w:val="false"/>
          <w:i w:val="false"/>
          <w:color w:val="000000"/>
          <w:sz w:val="28"/>
        </w:rPr>
        <w:t>
      Раздел 4.07. Заемщик обеспечит, чтобы любые объекты, имеющие отношение к проекту, эксплуатировались, обслуживались и ремонтировались в соответствии с применимыми рациональными техническими, финансовыми, деловыми практиками и практиками развития, эксплуатации и технического обслуживания.</w:t>
      </w:r>
    </w:p>
    <w:bookmarkEnd w:id="18"/>
    <w:bookmarkStart w:name="z17" w:id="19"/>
    <w:p>
      <w:pPr>
        <w:spacing w:after="0"/>
        <w:ind w:left="0"/>
        <w:jc w:val="left"/>
      </w:pPr>
      <w:r>
        <w:rPr>
          <w:rFonts w:ascii="Times New Roman"/>
          <w:b/>
          <w:i w:val="false"/>
          <w:color w:val="000000"/>
        </w:rPr>
        <w:t xml:space="preserve"> 
СТАТЬЯ V</w:t>
      </w:r>
    </w:p>
    <w:bookmarkEnd w:id="19"/>
    <w:bookmarkStart w:name="z18" w:id="20"/>
    <w:p>
      <w:pPr>
        <w:spacing w:after="0"/>
        <w:ind w:left="0"/>
        <w:jc w:val="left"/>
      </w:pPr>
      <w:r>
        <w:rPr>
          <w:rFonts w:ascii="Times New Roman"/>
          <w:b/>
          <w:i w:val="false"/>
          <w:color w:val="000000"/>
        </w:rPr>
        <w:t xml:space="preserve"> 
Вступление в силу</w:t>
      </w:r>
    </w:p>
    <w:bookmarkEnd w:id="20"/>
    <w:bookmarkStart w:name="z49" w:id="21"/>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настоящего Соглашения о займе для целей раздела 10.04 Правил предоставления займа.</w:t>
      </w:r>
    </w:p>
    <w:bookmarkEnd w:id="21"/>
    <w:bookmarkStart w:name="z19" w:id="22"/>
    <w:p>
      <w:pPr>
        <w:spacing w:after="0"/>
        <w:ind w:left="0"/>
        <w:jc w:val="left"/>
      </w:pPr>
      <w:r>
        <w:rPr>
          <w:rFonts w:ascii="Times New Roman"/>
          <w:b/>
          <w:i w:val="false"/>
          <w:color w:val="000000"/>
        </w:rPr>
        <w:t xml:space="preserve"> 
СТАТЬЯ VI</w:t>
      </w:r>
    </w:p>
    <w:bookmarkEnd w:id="22"/>
    <w:bookmarkStart w:name="z20" w:id="23"/>
    <w:p>
      <w:pPr>
        <w:spacing w:after="0"/>
        <w:ind w:left="0"/>
        <w:jc w:val="left"/>
      </w:pPr>
      <w:r>
        <w:rPr>
          <w:rFonts w:ascii="Times New Roman"/>
          <w:b/>
          <w:i w:val="false"/>
          <w:color w:val="000000"/>
        </w:rPr>
        <w:t xml:space="preserve"> 
Прочие положения</w:t>
      </w:r>
    </w:p>
    <w:bookmarkEnd w:id="23"/>
    <w:bookmarkStart w:name="z50" w:id="24"/>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раздела 12.01 Правил предоставления займа:</w:t>
      </w:r>
    </w:p>
    <w:bookmarkEnd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Факс:</w:t>
      </w:r>
      <w:r>
        <w:br/>
      </w:r>
      <w:r>
        <w:rPr>
          <w:rFonts w:ascii="Times New Roman"/>
          <w:b w:val="false"/>
          <w:i w:val="false"/>
          <w:color w:val="000000"/>
          <w:sz w:val="28"/>
        </w:rPr>
        <w:t>
      +7(7172)717-785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 Mandaluyong City</w:t>
      </w:r>
      <w:r>
        <w:br/>
      </w:r>
      <w:r>
        <w:rPr>
          <w:rFonts w:ascii="Times New Roman"/>
          <w:b w:val="false"/>
          <w:i w:val="false"/>
          <w:color w:val="000000"/>
          <w:sz w:val="28"/>
        </w:rPr>
        <w:t>
      1550 Metro Manila Philippines</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Факс:</w:t>
      </w:r>
      <w:r>
        <w:br/>
      </w: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xml:space="preserve">АЗИАТСКИЙ БАНК РАЗВИТИЯ   </w:t>
      </w:r>
      <w:r>
        <w:br/>
      </w:r>
      <w:r>
        <w:rPr>
          <w:rFonts w:ascii="Times New Roman"/>
          <w:b w:val="false"/>
          <w:i w:val="false"/>
          <w:color w:val="000000"/>
          <w:sz w:val="28"/>
        </w:rPr>
        <w:t>
_____________________________</w:t>
      </w:r>
      <w:r>
        <w:br/>
      </w:r>
      <w:r>
        <w:rPr>
          <w:rFonts w:ascii="Times New Roman"/>
          <w:b w:val="false"/>
          <w:i w:val="false"/>
          <w:color w:val="000000"/>
          <w:sz w:val="28"/>
        </w:rPr>
        <w:t>
Уполномоченный представитель</w:t>
      </w:r>
    </w:p>
    <w:bookmarkStart w:name="z21" w:id="25"/>
    <w:p>
      <w:pPr>
        <w:spacing w:after="0"/>
        <w:ind w:left="0"/>
        <w:jc w:val="left"/>
      </w:pPr>
      <w:r>
        <w:rPr>
          <w:rFonts w:ascii="Times New Roman"/>
          <w:b/>
          <w:i w:val="false"/>
          <w:color w:val="000000"/>
        </w:rPr>
        <w:t xml:space="preserve"> 
ПРИЛОЖЕНИЕ 1</w:t>
      </w:r>
    </w:p>
    <w:bookmarkEnd w:id="25"/>
    <w:bookmarkStart w:name="z22" w:id="26"/>
    <w:p>
      <w:pPr>
        <w:spacing w:after="0"/>
        <w:ind w:left="0"/>
        <w:jc w:val="left"/>
      </w:pPr>
      <w:r>
        <w:rPr>
          <w:rFonts w:ascii="Times New Roman"/>
          <w:b/>
          <w:i w:val="false"/>
          <w:color w:val="000000"/>
        </w:rPr>
        <w:t xml:space="preserve"> 
Описание проекта</w:t>
      </w:r>
    </w:p>
    <w:bookmarkEnd w:id="26"/>
    <w:bookmarkStart w:name="z26" w:id="27"/>
    <w:p>
      <w:pPr>
        <w:spacing w:after="0"/>
        <w:ind w:left="0"/>
        <w:jc w:val="both"/>
      </w:pPr>
      <w:r>
        <w:rPr>
          <w:rFonts w:ascii="Times New Roman"/>
          <w:b w:val="false"/>
          <w:i w:val="false"/>
          <w:color w:val="000000"/>
          <w:sz w:val="28"/>
        </w:rPr>
        <w:t>
      1. Цель проекта - эффективная транспортная сеть заемщика на участке дороги ЦАРЭС Коридора 3 в Южно-Казахстанской области.</w:t>
      </w:r>
      <w:r>
        <w:br/>
      </w:r>
      <w:r>
        <w:rPr>
          <w:rFonts w:ascii="Times New Roman"/>
          <w:b w:val="false"/>
          <w:i w:val="false"/>
          <w:color w:val="000000"/>
          <w:sz w:val="28"/>
        </w:rPr>
        <w:t>
</w:t>
      </w:r>
      <w:r>
        <w:rPr>
          <w:rFonts w:ascii="Times New Roman"/>
          <w:b w:val="false"/>
          <w:i w:val="false"/>
          <w:color w:val="000000"/>
          <w:sz w:val="28"/>
        </w:rPr>
        <w:t>
      2. Проект будет включать в себя следующие компоненты:</w:t>
      </w:r>
      <w:r>
        <w:br/>
      </w:r>
      <w:r>
        <w:rPr>
          <w:rFonts w:ascii="Times New Roman"/>
          <w:b w:val="false"/>
          <w:i w:val="false"/>
          <w:color w:val="000000"/>
          <w:sz w:val="28"/>
        </w:rPr>
        <w:t>
      (а) реконструкция участка дороги протяженностью 36,7 км между 705 км и 742 км дороги между Шымкентом и Ташкентом в рамках ЦАРЭС Коридора 3 в Южно-Казахстанской области заемщика; и</w:t>
      </w:r>
      <w:r>
        <w:br/>
      </w:r>
      <w:r>
        <w:rPr>
          <w:rFonts w:ascii="Times New Roman"/>
          <w:b w:val="false"/>
          <w:i w:val="false"/>
          <w:color w:val="000000"/>
          <w:sz w:val="28"/>
        </w:rPr>
        <w:t>
      (b) поддержка для оказания услуг по надзору за строительством и внешнему мониторингу реализации охранных мер.</w:t>
      </w:r>
      <w:r>
        <w:br/>
      </w:r>
      <w:r>
        <w:rPr>
          <w:rFonts w:ascii="Times New Roman"/>
          <w:b w:val="false"/>
          <w:i w:val="false"/>
          <w:color w:val="000000"/>
          <w:sz w:val="28"/>
        </w:rPr>
        <w:t>
</w:t>
      </w:r>
      <w:r>
        <w:rPr>
          <w:rFonts w:ascii="Times New Roman"/>
          <w:b w:val="false"/>
          <w:i w:val="false"/>
          <w:color w:val="000000"/>
          <w:sz w:val="28"/>
        </w:rPr>
        <w:t>
      3. Завершение проекта ожидается к 31 декабря 2015 года.</w:t>
      </w:r>
    </w:p>
    <w:bookmarkEnd w:id="27"/>
    <w:bookmarkStart w:name="z23" w:id="28"/>
    <w:p>
      <w:pPr>
        <w:spacing w:after="0"/>
        <w:ind w:left="0"/>
        <w:jc w:val="left"/>
      </w:pPr>
      <w:r>
        <w:rPr>
          <w:rFonts w:ascii="Times New Roman"/>
          <w:b/>
          <w:i w:val="false"/>
          <w:color w:val="000000"/>
        </w:rPr>
        <w:t xml:space="preserve"> 
ПРИЛОЖЕНИЕ 2</w:t>
      </w:r>
    </w:p>
    <w:bookmarkEnd w:id="28"/>
    <w:bookmarkStart w:name="z24" w:id="29"/>
    <w:p>
      <w:pPr>
        <w:spacing w:after="0"/>
        <w:ind w:left="0"/>
        <w:jc w:val="left"/>
      </w:pPr>
      <w:r>
        <w:rPr>
          <w:rFonts w:ascii="Times New Roman"/>
          <w:b/>
          <w:i w:val="false"/>
          <w:color w:val="000000"/>
        </w:rPr>
        <w:t xml:space="preserve"> 
График погашения займа</w:t>
      </w:r>
    </w:p>
    <w:bookmarkEnd w:id="29"/>
    <w:bookmarkStart w:name="z25" w:id="30"/>
    <w:p>
      <w:pPr>
        <w:spacing w:after="0"/>
        <w:ind w:left="0"/>
        <w:jc w:val="left"/>
      </w:pPr>
      <w:r>
        <w:rPr>
          <w:rFonts w:ascii="Times New Roman"/>
          <w:b/>
          <w:i w:val="false"/>
          <w:color w:val="000000"/>
        </w:rPr>
        <w:t xml:space="preserve"> 
(Проект реконструкции дороги ЦАРЭС Коридора 3 [участок дороги</w:t>
      </w:r>
      <w:r>
        <w:br/>
      </w:r>
      <w:r>
        <w:rPr>
          <w:rFonts w:ascii="Times New Roman"/>
          <w:b/>
          <w:i w:val="false"/>
          <w:color w:val="000000"/>
        </w:rPr>
        <w:t>
«Шымкент - Ташкент»] [подъезд к международному транзитному</w:t>
      </w:r>
      <w:r>
        <w:br/>
      </w:r>
      <w:r>
        <w:rPr>
          <w:rFonts w:ascii="Times New Roman"/>
          <w:b/>
          <w:i w:val="false"/>
          <w:color w:val="000000"/>
        </w:rPr>
        <w:t>
коридору «Западная Европа - Западная Китайская</w:t>
      </w:r>
      <w:r>
        <w:br/>
      </w:r>
      <w:r>
        <w:rPr>
          <w:rFonts w:ascii="Times New Roman"/>
          <w:b/>
          <w:i w:val="false"/>
          <w:color w:val="000000"/>
        </w:rPr>
        <w:t>
Народная Республика»])</w:t>
      </w:r>
    </w:p>
    <w:bookmarkEnd w:id="30"/>
    <w:bookmarkStart w:name="z52" w:id="31"/>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(а) общей основной суммы займа, снятой и невостребованной на момент первой даты платежа в погашение основной суммы займа; на (b) очередной взнос для каждой даты платежа в погашение основной суммы займа, при этом такая сумма погашения будет изменена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w:t>
      </w:r>
    </w:p>
    <w:bookmarkEnd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Дата платежа</w:t>
      </w:r>
      <w:r>
        <w:rPr>
          <w:rFonts w:ascii="Times New Roman"/>
          <w:b w:val="false"/>
          <w:i w:val="false"/>
          <w:color w:val="000000"/>
          <w:sz w:val="28"/>
        </w:rPr>
        <w:t>                    </w:t>
      </w:r>
      <w:r>
        <w:rPr>
          <w:rFonts w:ascii="Times New Roman"/>
          <w:b w:val="false"/>
          <w:i w:val="false"/>
          <w:color w:val="000000"/>
          <w:sz w:val="28"/>
          <w:u w:val="single"/>
        </w:rPr>
        <w:t>Очередной взнос</w:t>
      </w:r>
      <w:r>
        <w:br/>
      </w:r>
      <w:r>
        <w:rPr>
          <w:rFonts w:ascii="Times New Roman"/>
          <w:b w:val="false"/>
          <w:i w:val="false"/>
          <w:color w:val="000000"/>
          <w:sz w:val="28"/>
        </w:rPr>
        <w:t>
                                             (выраженный в %)</w:t>
      </w:r>
    </w:p>
    <w:p>
      <w:pPr>
        <w:spacing w:after="0"/>
        <w:ind w:left="0"/>
        <w:jc w:val="both"/>
      </w:pPr>
      <w:r>
        <w:rPr>
          <w:rFonts w:ascii="Times New Roman"/>
          <w:b w:val="false"/>
          <w:i w:val="false"/>
          <w:color w:val="000000"/>
          <w:sz w:val="28"/>
        </w:rPr>
        <w:t>         15 декабря 2016 года                     3.125000</w:t>
      </w:r>
      <w:r>
        <w:br/>
      </w:r>
      <w:r>
        <w:rPr>
          <w:rFonts w:ascii="Times New Roman"/>
          <w:b w:val="false"/>
          <w:i w:val="false"/>
          <w:color w:val="000000"/>
          <w:sz w:val="28"/>
        </w:rPr>
        <w:t>
         15 июня 2017 года                        3.125000</w:t>
      </w:r>
      <w:r>
        <w:br/>
      </w:r>
      <w:r>
        <w:rPr>
          <w:rFonts w:ascii="Times New Roman"/>
          <w:b w:val="false"/>
          <w:i w:val="false"/>
          <w:color w:val="000000"/>
          <w:sz w:val="28"/>
        </w:rPr>
        <w:t>
         15 декабря 2017 года                     3.125000</w:t>
      </w:r>
      <w:r>
        <w:br/>
      </w:r>
      <w:r>
        <w:rPr>
          <w:rFonts w:ascii="Times New Roman"/>
          <w:b w:val="false"/>
          <w:i w:val="false"/>
          <w:color w:val="000000"/>
          <w:sz w:val="28"/>
        </w:rPr>
        <w:t>
         15 июня 2018 года                        3.125000</w:t>
      </w:r>
      <w:r>
        <w:br/>
      </w:r>
      <w:r>
        <w:rPr>
          <w:rFonts w:ascii="Times New Roman"/>
          <w:b w:val="false"/>
          <w:i w:val="false"/>
          <w:color w:val="000000"/>
          <w:sz w:val="28"/>
        </w:rPr>
        <w:t>
         15 декабря 2018 года                     3.125000</w:t>
      </w:r>
      <w:r>
        <w:br/>
      </w:r>
      <w:r>
        <w:rPr>
          <w:rFonts w:ascii="Times New Roman"/>
          <w:b w:val="false"/>
          <w:i w:val="false"/>
          <w:color w:val="000000"/>
          <w:sz w:val="28"/>
        </w:rPr>
        <w:t>
         15 июня 2019 года                        3.125000</w:t>
      </w:r>
      <w:r>
        <w:br/>
      </w:r>
      <w:r>
        <w:rPr>
          <w:rFonts w:ascii="Times New Roman"/>
          <w:b w:val="false"/>
          <w:i w:val="false"/>
          <w:color w:val="000000"/>
          <w:sz w:val="28"/>
        </w:rPr>
        <w:t>
         15 декабря 2019 года                     3.125000</w:t>
      </w:r>
      <w:r>
        <w:br/>
      </w:r>
      <w:r>
        <w:rPr>
          <w:rFonts w:ascii="Times New Roman"/>
          <w:b w:val="false"/>
          <w:i w:val="false"/>
          <w:color w:val="000000"/>
          <w:sz w:val="28"/>
        </w:rPr>
        <w:t>
         15 июня 2020 года                        3.125000</w:t>
      </w:r>
      <w:r>
        <w:br/>
      </w:r>
      <w:r>
        <w:rPr>
          <w:rFonts w:ascii="Times New Roman"/>
          <w:b w:val="false"/>
          <w:i w:val="false"/>
          <w:color w:val="000000"/>
          <w:sz w:val="28"/>
        </w:rPr>
        <w:t>
         15 декабря 2020 года                     3.125000</w:t>
      </w:r>
      <w:r>
        <w:br/>
      </w:r>
      <w:r>
        <w:rPr>
          <w:rFonts w:ascii="Times New Roman"/>
          <w:b w:val="false"/>
          <w:i w:val="false"/>
          <w:color w:val="000000"/>
          <w:sz w:val="28"/>
        </w:rPr>
        <w:t>
         15 июня 2021 года                        3.125000</w:t>
      </w:r>
      <w:r>
        <w:br/>
      </w:r>
      <w:r>
        <w:rPr>
          <w:rFonts w:ascii="Times New Roman"/>
          <w:b w:val="false"/>
          <w:i w:val="false"/>
          <w:color w:val="000000"/>
          <w:sz w:val="28"/>
        </w:rPr>
        <w:t>
         15 декабря 2021 года                     3.125000</w:t>
      </w:r>
      <w:r>
        <w:br/>
      </w:r>
      <w:r>
        <w:rPr>
          <w:rFonts w:ascii="Times New Roman"/>
          <w:b w:val="false"/>
          <w:i w:val="false"/>
          <w:color w:val="000000"/>
          <w:sz w:val="28"/>
        </w:rPr>
        <w:t>
         15 июня 2022 года                        3.125000</w:t>
      </w:r>
      <w:r>
        <w:br/>
      </w:r>
      <w:r>
        <w:rPr>
          <w:rFonts w:ascii="Times New Roman"/>
          <w:b w:val="false"/>
          <w:i w:val="false"/>
          <w:color w:val="000000"/>
          <w:sz w:val="28"/>
        </w:rPr>
        <w:t>
         15 декабря 2022 года                     3.125000</w:t>
      </w:r>
      <w:r>
        <w:br/>
      </w:r>
      <w:r>
        <w:rPr>
          <w:rFonts w:ascii="Times New Roman"/>
          <w:b w:val="false"/>
          <w:i w:val="false"/>
          <w:color w:val="000000"/>
          <w:sz w:val="28"/>
        </w:rPr>
        <w:t>
         15 июня 2023 года                        3.125000</w:t>
      </w:r>
      <w:r>
        <w:br/>
      </w:r>
      <w:r>
        <w:rPr>
          <w:rFonts w:ascii="Times New Roman"/>
          <w:b w:val="false"/>
          <w:i w:val="false"/>
          <w:color w:val="000000"/>
          <w:sz w:val="28"/>
        </w:rPr>
        <w:t>
         15 декабря 2023 года                     3.125000</w:t>
      </w:r>
      <w:r>
        <w:br/>
      </w:r>
      <w:r>
        <w:rPr>
          <w:rFonts w:ascii="Times New Roman"/>
          <w:b w:val="false"/>
          <w:i w:val="false"/>
          <w:color w:val="000000"/>
          <w:sz w:val="28"/>
        </w:rPr>
        <w:t>
         15 июня 2024 года                        3.125000</w:t>
      </w:r>
      <w:r>
        <w:br/>
      </w:r>
      <w:r>
        <w:rPr>
          <w:rFonts w:ascii="Times New Roman"/>
          <w:b w:val="false"/>
          <w:i w:val="false"/>
          <w:color w:val="000000"/>
          <w:sz w:val="28"/>
        </w:rPr>
        <w:t>
         15 декабря 2024 года                     3.125000</w:t>
      </w:r>
      <w:r>
        <w:br/>
      </w:r>
      <w:r>
        <w:rPr>
          <w:rFonts w:ascii="Times New Roman"/>
          <w:b w:val="false"/>
          <w:i w:val="false"/>
          <w:color w:val="000000"/>
          <w:sz w:val="28"/>
        </w:rPr>
        <w:t>
         15 июня 2025 года                        3.125000</w:t>
      </w:r>
      <w:r>
        <w:br/>
      </w:r>
      <w:r>
        <w:rPr>
          <w:rFonts w:ascii="Times New Roman"/>
          <w:b w:val="false"/>
          <w:i w:val="false"/>
          <w:color w:val="000000"/>
          <w:sz w:val="28"/>
        </w:rPr>
        <w:t>
         15 декабря 2025 года                     3.125000</w:t>
      </w:r>
      <w:r>
        <w:br/>
      </w:r>
      <w:r>
        <w:rPr>
          <w:rFonts w:ascii="Times New Roman"/>
          <w:b w:val="false"/>
          <w:i w:val="false"/>
          <w:color w:val="000000"/>
          <w:sz w:val="28"/>
        </w:rPr>
        <w:t>
         15 июня 2026 года                        3.125000</w:t>
      </w:r>
      <w:r>
        <w:br/>
      </w:r>
      <w:r>
        <w:rPr>
          <w:rFonts w:ascii="Times New Roman"/>
          <w:b w:val="false"/>
          <w:i w:val="false"/>
          <w:color w:val="000000"/>
          <w:sz w:val="28"/>
        </w:rPr>
        <w:t>
         15 декабря 2026 года                     3.125000</w:t>
      </w:r>
      <w:r>
        <w:br/>
      </w:r>
      <w:r>
        <w:rPr>
          <w:rFonts w:ascii="Times New Roman"/>
          <w:b w:val="false"/>
          <w:i w:val="false"/>
          <w:color w:val="000000"/>
          <w:sz w:val="28"/>
        </w:rPr>
        <w:t>
         15 июня 2027 года                        3.125000</w:t>
      </w:r>
      <w:r>
        <w:br/>
      </w:r>
      <w:r>
        <w:rPr>
          <w:rFonts w:ascii="Times New Roman"/>
          <w:b w:val="false"/>
          <w:i w:val="false"/>
          <w:color w:val="000000"/>
          <w:sz w:val="28"/>
        </w:rPr>
        <w:t>
         15 декабря 2027 года                     3.125000</w:t>
      </w:r>
      <w:r>
        <w:br/>
      </w:r>
      <w:r>
        <w:rPr>
          <w:rFonts w:ascii="Times New Roman"/>
          <w:b w:val="false"/>
          <w:i w:val="false"/>
          <w:color w:val="000000"/>
          <w:sz w:val="28"/>
        </w:rPr>
        <w:t>
         15 июня 2028 года                        3.125000</w:t>
      </w:r>
      <w:r>
        <w:br/>
      </w:r>
      <w:r>
        <w:rPr>
          <w:rFonts w:ascii="Times New Roman"/>
          <w:b w:val="false"/>
          <w:i w:val="false"/>
          <w:color w:val="000000"/>
          <w:sz w:val="28"/>
        </w:rPr>
        <w:t>
         15 декабря 2028 года                     3.125000</w:t>
      </w:r>
      <w:r>
        <w:br/>
      </w:r>
      <w:r>
        <w:rPr>
          <w:rFonts w:ascii="Times New Roman"/>
          <w:b w:val="false"/>
          <w:i w:val="false"/>
          <w:color w:val="000000"/>
          <w:sz w:val="28"/>
        </w:rPr>
        <w:t>
         15 июня 2029 года                        3.125000</w:t>
      </w:r>
      <w:r>
        <w:br/>
      </w:r>
      <w:r>
        <w:rPr>
          <w:rFonts w:ascii="Times New Roman"/>
          <w:b w:val="false"/>
          <w:i w:val="false"/>
          <w:color w:val="000000"/>
          <w:sz w:val="28"/>
        </w:rPr>
        <w:t>
         15 декабря 2029 года                     3.125000</w:t>
      </w:r>
      <w:r>
        <w:br/>
      </w:r>
      <w:r>
        <w:rPr>
          <w:rFonts w:ascii="Times New Roman"/>
          <w:b w:val="false"/>
          <w:i w:val="false"/>
          <w:color w:val="000000"/>
          <w:sz w:val="28"/>
        </w:rPr>
        <w:t>
         15 июня 2030 года                        3.125000</w:t>
      </w:r>
      <w:r>
        <w:br/>
      </w:r>
      <w:r>
        <w:rPr>
          <w:rFonts w:ascii="Times New Roman"/>
          <w:b w:val="false"/>
          <w:i w:val="false"/>
          <w:color w:val="000000"/>
          <w:sz w:val="28"/>
        </w:rPr>
        <w:t>
         15 декабря 2030 года                     3.125000</w:t>
      </w:r>
      <w:r>
        <w:br/>
      </w:r>
      <w:r>
        <w:rPr>
          <w:rFonts w:ascii="Times New Roman"/>
          <w:b w:val="false"/>
          <w:i w:val="false"/>
          <w:color w:val="000000"/>
          <w:sz w:val="28"/>
        </w:rPr>
        <w:t>
         15 июня 2031 года                        3.125000</w:t>
      </w:r>
      <w:r>
        <w:br/>
      </w:r>
      <w:r>
        <w:rPr>
          <w:rFonts w:ascii="Times New Roman"/>
          <w:b w:val="false"/>
          <w:i w:val="false"/>
          <w:color w:val="000000"/>
          <w:sz w:val="28"/>
        </w:rPr>
        <w:t>
         15 декабря 2031 года                     3.125000</w:t>
      </w:r>
      <w:r>
        <w:br/>
      </w:r>
      <w:r>
        <w:rPr>
          <w:rFonts w:ascii="Times New Roman"/>
          <w:b w:val="false"/>
          <w:i w:val="false"/>
          <w:color w:val="000000"/>
          <w:sz w:val="28"/>
        </w:rPr>
        <w:t>
         15 июня 2032 года                        3.125000</w:t>
      </w:r>
      <w:r>
        <w:br/>
      </w:r>
      <w:r>
        <w:rPr>
          <w:rFonts w:ascii="Times New Roman"/>
          <w:b w:val="false"/>
          <w:i w:val="false"/>
          <w:color w:val="000000"/>
          <w:sz w:val="28"/>
        </w:rPr>
        <w:t>
         </w:t>
      </w:r>
      <w:r>
        <w:rPr>
          <w:rFonts w:ascii="Times New Roman"/>
          <w:b/>
          <w:i w:val="false"/>
          <w:color w:val="000000"/>
          <w:sz w:val="28"/>
        </w:rPr>
        <w:t>ИТОГО</w:t>
      </w:r>
      <w:r>
        <w:rPr>
          <w:rFonts w:ascii="Times New Roman"/>
          <w:b w:val="false"/>
          <w:i w:val="false"/>
          <w:color w:val="000000"/>
          <w:sz w:val="28"/>
        </w:rPr>
        <w:t>                                    </w:t>
      </w:r>
      <w:r>
        <w:rPr>
          <w:rFonts w:ascii="Times New Roman"/>
          <w:b/>
          <w:i w:val="false"/>
          <w:color w:val="000000"/>
          <w:sz w:val="28"/>
        </w:rPr>
        <w:t>100.000000</w:t>
      </w:r>
    </w:p>
    <w:bookmarkStart w:name="z53" w:id="32"/>
    <w:p>
      <w:pPr>
        <w:spacing w:after="0"/>
        <w:ind w:left="0"/>
        <w:jc w:val="both"/>
      </w:pPr>
      <w:r>
        <w:rPr>
          <w:rFonts w:ascii="Times New Roman"/>
          <w:b w:val="false"/>
          <w:i w:val="false"/>
          <w:color w:val="000000"/>
          <w:sz w:val="28"/>
        </w:rPr>
        <w:t>
      2. Если средства займа не были в полном объеме сняты на момент первой даты платежа в погашение основной суммы займа, то основная сумма займа, подлежащая оплате заемщиком на каждую дату платежа в погашение основной суммы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снять на момент первой даты платежа в погашение основной суммы займа, заемщик выплатит сумму, снятую и невостребованную,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основной суммы займа, подлежит погашению в каждую дату платежа в погашение основной суммы займа, выпадающую после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основной суммы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основной суммы займа, выпадающих на момент или после данной даты, при этом данные суммы выплат будут изменяться при необходимости для вычета любых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основной суммы займа, исключительно в целях подсчета основных сумм, подлежащих оплате в любой день погашения основной суммы займа, следует считать снятыми и невостребованными на момент второй даты платежа в погашение основной суммы займа после даты снятия, и данные средства подлежат оплате в каждую дату платежа в погашение основной суммы займа, начиная со второй даты платежа в погашение основной суммы долга после даты снятия средств.</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снятых средств основной суммы займа в утвержденную валюту, сумма средств, конвертированных в вышеупомянутую утвержденную валюту, которая подлежит погашению в любую из дат погашения основной суммы займа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xml:space="preserve">
      5. Если основная сумма займа, снятая и невостребованная,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p>
    <w:bookmarkEnd w:id="32"/>
    <w:bookmarkStart w:name="z57" w:id="33"/>
    <w:p>
      <w:pPr>
        <w:spacing w:after="0"/>
        <w:ind w:left="0"/>
        <w:jc w:val="left"/>
      </w:pPr>
      <w:r>
        <w:rPr>
          <w:rFonts w:ascii="Times New Roman"/>
          <w:b/>
          <w:i w:val="false"/>
          <w:color w:val="000000"/>
        </w:rPr>
        <w:t xml:space="preserve"> 
ПРИЛОЖЕНИЕ 3</w:t>
      </w:r>
    </w:p>
    <w:bookmarkEnd w:id="33"/>
    <w:bookmarkStart w:name="z58" w:id="34"/>
    <w:p>
      <w:pPr>
        <w:spacing w:after="0"/>
        <w:ind w:left="0"/>
        <w:jc w:val="left"/>
      </w:pPr>
      <w:r>
        <w:rPr>
          <w:rFonts w:ascii="Times New Roman"/>
          <w:b/>
          <w:i w:val="false"/>
          <w:color w:val="000000"/>
        </w:rPr>
        <w:t xml:space="preserve"> 
Распределение и снятие средств займа</w:t>
      </w:r>
    </w:p>
    <w:bookmarkEnd w:id="34"/>
    <w:bookmarkStart w:name="z59"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35"/>
    <w:bookmarkStart w:name="z60" w:id="36"/>
    <w:p>
      <w:pPr>
        <w:spacing w:after="0"/>
        <w:ind w:left="0"/>
        <w:jc w:val="both"/>
      </w:pPr>
      <w:r>
        <w:rPr>
          <w:rFonts w:ascii="Times New Roman"/>
          <w:b w:val="false"/>
          <w:i w:val="false"/>
          <w:color w:val="000000"/>
          <w:sz w:val="28"/>
        </w:rPr>
        <w:t>
      1. Таблица, добавленная к настоящему приложению, излагает категории статей расходов, финансируемых за счет средств займа, а также распределение средств займа для каждой такой категории («Таблица») (упоминание понятия «Категория» в настоящем приложении относится к категории таблицы).</w:t>
      </w:r>
    </w:p>
    <w:bookmarkEnd w:id="36"/>
    <w:bookmarkStart w:name="z61"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Основание для снятия средств со счета займа</w:t>
      </w:r>
    </w:p>
    <w:bookmarkEnd w:id="37"/>
    <w:bookmarkStart w:name="z62" w:id="38"/>
    <w:p>
      <w:pPr>
        <w:spacing w:after="0"/>
        <w:ind w:left="0"/>
        <w:jc w:val="both"/>
      </w:pPr>
      <w:r>
        <w:rPr>
          <w:rFonts w:ascii="Times New Roman"/>
          <w:b w:val="false"/>
          <w:i w:val="false"/>
          <w:color w:val="000000"/>
          <w:sz w:val="28"/>
        </w:rPr>
        <w:t>
      2. Если АБР не согласовано иное, средства займа будут выплачены на основе процентных значений по снятию на каждую из статей расходов, указанных в таблице.</w:t>
      </w:r>
    </w:p>
    <w:bookmarkEnd w:id="38"/>
    <w:bookmarkStart w:name="z63"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bookmarkEnd w:id="39"/>
    <w:bookmarkStart w:name="z64" w:id="40"/>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(а)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на данную категорию средства, выделенные для другой категории, и, по мнению АБР, не нужные для финансирования других расходов, в степени, необходимой для восполнения рассчитанного дефицита средств, а также (ii) если данное перераспределение не может в полной мере восполнить рассчитанный дефицит, уменьшить процентное значение по снятию средств для данных расходов с тем, чтобы дальнейшие снятия для данной категории производились до тех пор, пока все указанные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какой-либо другой категории.</w:t>
      </w:r>
    </w:p>
    <w:bookmarkEnd w:id="40"/>
    <w:bookmarkStart w:name="z65"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Процедуры выплаты займа</w:t>
      </w:r>
    </w:p>
    <w:bookmarkEnd w:id="41"/>
    <w:bookmarkStart w:name="z66" w:id="42"/>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bookmarkEnd w:id="42"/>
    <w:p>
      <w:pPr>
        <w:spacing w:after="0"/>
        <w:ind w:left="0"/>
        <w:jc w:val="both"/>
      </w:pPr>
      <w:r>
        <w:rPr>
          <w:rFonts w:ascii="Times New Roman"/>
          <w:b w:val="false"/>
          <w:i w:val="false"/>
          <w:color w:val="000000"/>
          <w:sz w:val="28"/>
          <w:u w:val="single"/>
        </w:rPr>
        <w:t>Дополнение к Приложению 3</w:t>
      </w:r>
    </w:p>
    <w:p>
      <w:pPr>
        <w:spacing w:after="0"/>
        <w:ind w:left="0"/>
        <w:jc w:val="both"/>
      </w:pPr>
      <w:r>
        <w:rPr>
          <w:rFonts w:ascii="Times New Roman"/>
          <w:b w:val="false"/>
          <w:i w:val="false"/>
          <w:color w:val="000000"/>
          <w:sz w:val="28"/>
        </w:rPr>
        <w:t>                                   </w:t>
      </w:r>
      <w:r>
        <w:rPr>
          <w:rFonts w:ascii="Times New Roman"/>
          <w:b/>
          <w:i w:val="false"/>
          <w:color w:val="000000"/>
          <w:sz w:val="28"/>
        </w:rPr>
        <w:t>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3692"/>
        <w:gridCol w:w="3813"/>
        <w:gridCol w:w="5128"/>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РАСПРЕДЕЛЕНИЕ И СНЯТИЕ СРЕДСТВ ЗАЙМА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АБР</w:t>
            </w:r>
          </w:p>
        </w:tc>
      </w:tr>
      <w:tr>
        <w:trPr>
          <w:trHeight w:val="30" w:hRule="atLeast"/>
        </w:trPr>
        <w:tc>
          <w:tcPr>
            <w:tcW w:w="0" w:type="auto"/>
            <w:vMerge/>
            <w:tcBorders>
              <w:top w:val="nil"/>
              <w:left w:val="single" w:color="cfcfcf" w:sz="5"/>
              <w:bottom w:val="single" w:color="cfcfcf" w:sz="5"/>
              <w:right w:val="single" w:color="cfcfcf" w:sz="5"/>
            </w:tcBorders>
          </w:tcP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распределенная для финансирования АБР ($) Категория</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для снятия средств со счета займа</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111,000,000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процентов от общей запрашиваемой суммы затрат</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процентов от общей запрашиваемой суммы затрат*</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 средства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125,000,000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Без учета налогов и сборов, введенных на территории заемщика.</w:t>
      </w:r>
    </w:p>
    <w:bookmarkStart w:name="z67" w:id="43"/>
    <w:p>
      <w:pPr>
        <w:spacing w:after="0"/>
        <w:ind w:left="0"/>
        <w:jc w:val="left"/>
      </w:pPr>
      <w:r>
        <w:rPr>
          <w:rFonts w:ascii="Times New Roman"/>
          <w:b/>
          <w:i w:val="false"/>
          <w:color w:val="000000"/>
        </w:rPr>
        <w:t xml:space="preserve"> 
ПРИЛОЖЕНИЕ 4</w:t>
      </w:r>
    </w:p>
    <w:bookmarkEnd w:id="43"/>
    <w:bookmarkStart w:name="z68" w:id="44"/>
    <w:p>
      <w:pPr>
        <w:spacing w:after="0"/>
        <w:ind w:left="0"/>
        <w:jc w:val="left"/>
      </w:pPr>
      <w:r>
        <w:rPr>
          <w:rFonts w:ascii="Times New Roman"/>
          <w:b/>
          <w:i w:val="false"/>
          <w:color w:val="000000"/>
        </w:rPr>
        <w:t xml:space="preserve"> 
Закупки работ и консультационных услуг</w:t>
      </w:r>
    </w:p>
    <w:bookmarkEnd w:id="44"/>
    <w:bookmarkStart w:name="z69"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45"/>
    <w:bookmarkStart w:name="z70" w:id="46"/>
    <w:p>
      <w:pPr>
        <w:spacing w:after="0"/>
        <w:ind w:left="0"/>
        <w:jc w:val="both"/>
      </w:pPr>
      <w:r>
        <w:rPr>
          <w:rFonts w:ascii="Times New Roman"/>
          <w:b w:val="false"/>
          <w:i w:val="false"/>
          <w:color w:val="000000"/>
          <w:sz w:val="28"/>
        </w:rPr>
        <w:t xml:space="preserve">
      1. Закупка работ и консультационных услуг подлежит исполнению и контролю в соответствии с руководством по закупкам и руководством по привлечению консультантов, соответственно. </w:t>
      </w:r>
      <w:r>
        <w:br/>
      </w:r>
      <w:r>
        <w:rPr>
          <w:rFonts w:ascii="Times New Roman"/>
          <w:b w:val="false"/>
          <w:i w:val="false"/>
          <w:color w:val="000000"/>
          <w:sz w:val="28"/>
        </w:rPr>
        <w:t>
</w:t>
      </w:r>
      <w:r>
        <w:rPr>
          <w:rFonts w:ascii="Times New Roman"/>
          <w:b w:val="false"/>
          <w:i w:val="false"/>
          <w:color w:val="000000"/>
          <w:sz w:val="28"/>
        </w:rPr>
        <w:t xml:space="preserve">
      2. Все термины, используемые в настоящем приложении и не определенные в настоящем Соглашении о займе, определяются в руководстве по закупкам и/или руководстве по привлечению консультантов, где применимо. </w:t>
      </w:r>
    </w:p>
    <w:bookmarkEnd w:id="46"/>
    <w:bookmarkStart w:name="z72"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Работы</w:t>
      </w:r>
    </w:p>
    <w:bookmarkEnd w:id="47"/>
    <w:bookmarkStart w:name="z73" w:id="48"/>
    <w:p>
      <w:pPr>
        <w:spacing w:after="0"/>
        <w:ind w:left="0"/>
        <w:jc w:val="both"/>
      </w:pPr>
      <w:r>
        <w:rPr>
          <w:rFonts w:ascii="Times New Roman"/>
          <w:b w:val="false"/>
          <w:i w:val="false"/>
          <w:color w:val="000000"/>
          <w:sz w:val="28"/>
        </w:rPr>
        <w:t xml:space="preserve">
      3. Если АБР не согласовано иное, работы должны приобретаться только на основе международных конкурсных торгов. </w:t>
      </w:r>
      <w:r>
        <w:br/>
      </w:r>
      <w:r>
        <w:rPr>
          <w:rFonts w:ascii="Times New Roman"/>
          <w:b w:val="false"/>
          <w:i w:val="false"/>
          <w:color w:val="000000"/>
          <w:sz w:val="28"/>
        </w:rPr>
        <w:t>
</w:t>
      </w:r>
      <w:r>
        <w:rPr>
          <w:rFonts w:ascii="Times New Roman"/>
          <w:b w:val="false"/>
          <w:i w:val="false"/>
          <w:color w:val="000000"/>
          <w:sz w:val="28"/>
        </w:rPr>
        <w:t xml:space="preserve">
      4. Метод закупок, помимо прочего, подлежит исполнению в соответствии с детальными договоренностями и пороговыми стоимостями, указанными в Плане закупок. Заемщик вправе изменять метод закупок или пороговые стоимости только при условии предварительного согласования с АБР, при этом изменения должны отражаться в дополнениях к Плану закупок. </w:t>
      </w:r>
    </w:p>
    <w:bookmarkEnd w:id="48"/>
    <w:bookmarkStart w:name="z75"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bookmarkEnd w:id="49"/>
    <w:bookmarkStart w:name="z76" w:id="50"/>
    <w:p>
      <w:pPr>
        <w:spacing w:after="0"/>
        <w:ind w:left="0"/>
        <w:jc w:val="both"/>
      </w:pPr>
      <w:r>
        <w:rPr>
          <w:rFonts w:ascii="Times New Roman"/>
          <w:b w:val="false"/>
          <w:i w:val="false"/>
          <w:color w:val="000000"/>
          <w:sz w:val="28"/>
        </w:rPr>
        <w:t>
      5. Заемщик не должен присуждать контракты на работы, включающие воздействие на окружающую среду до тех пор, пока:</w:t>
      </w:r>
      <w:r>
        <w:br/>
      </w:r>
      <w:r>
        <w:rPr>
          <w:rFonts w:ascii="Times New Roman"/>
          <w:b w:val="false"/>
          <w:i w:val="false"/>
          <w:color w:val="000000"/>
          <w:sz w:val="28"/>
        </w:rPr>
        <w:t>
      (а) ПЭО не будет одобрена соответствующим органом заемщика; и</w:t>
      </w:r>
      <w:r>
        <w:br/>
      </w:r>
      <w:r>
        <w:rPr>
          <w:rFonts w:ascii="Times New Roman"/>
          <w:b w:val="false"/>
          <w:i w:val="false"/>
          <w:color w:val="000000"/>
          <w:sz w:val="28"/>
        </w:rPr>
        <w:t>
      (b) заемщик не включит соответствующие положения ПУОС в контракты на работы.</w:t>
      </w:r>
      <w:r>
        <w:br/>
      </w:r>
      <w:r>
        <w:rPr>
          <w:rFonts w:ascii="Times New Roman"/>
          <w:b w:val="false"/>
          <w:i w:val="false"/>
          <w:color w:val="000000"/>
          <w:sz w:val="28"/>
        </w:rPr>
        <w:t>
</w:t>
      </w:r>
      <w:r>
        <w:rPr>
          <w:rFonts w:ascii="Times New Roman"/>
          <w:b w:val="false"/>
          <w:i w:val="false"/>
          <w:color w:val="000000"/>
          <w:sz w:val="28"/>
        </w:rPr>
        <w:t>
      6. Заемщик не должен присуждать какие-либо контракты на работы, которые включают принудительное переселение, пока заемщик не подготовит и не представит в АБР окончательный ПВЗП (если требуется) на основе детального проектного решения по проекту и не получит одобрение АБР такого ПВЗП.</w:t>
      </w:r>
    </w:p>
    <w:bookmarkEnd w:id="50"/>
    <w:bookmarkStart w:name="z79" w:id="51"/>
    <w:p>
      <w:pPr>
        <w:spacing w:after="0"/>
        <w:ind w:left="0"/>
        <w:jc w:val="left"/>
      </w:pPr>
      <w:r>
        <w:rPr>
          <w:rFonts w:ascii="Times New Roman"/>
          <w:b/>
          <w:i w:val="false"/>
          <w:color w:val="000000"/>
        </w:rPr>
        <w:t xml:space="preserve"> 
Консультационные услуги</w:t>
      </w:r>
    </w:p>
    <w:bookmarkEnd w:id="51"/>
    <w:bookmarkStart w:name="z80" w:id="52"/>
    <w:p>
      <w:pPr>
        <w:spacing w:after="0"/>
        <w:ind w:left="0"/>
        <w:jc w:val="both"/>
      </w:pPr>
      <w:r>
        <w:rPr>
          <w:rFonts w:ascii="Times New Roman"/>
          <w:b w:val="false"/>
          <w:i w:val="false"/>
          <w:color w:val="000000"/>
          <w:sz w:val="28"/>
        </w:rPr>
        <w:t xml:space="preserve">
      7. Если АБР не согласовано иное, и если иное не указано в следующем пункте, заемщик применит методы отбора на основе качества и цены, при отборе и привлечении консультационных услуг. </w:t>
      </w:r>
      <w:r>
        <w:br/>
      </w:r>
      <w:r>
        <w:rPr>
          <w:rFonts w:ascii="Times New Roman"/>
          <w:b w:val="false"/>
          <w:i w:val="false"/>
          <w:color w:val="000000"/>
          <w:sz w:val="28"/>
        </w:rPr>
        <w:t>
</w:t>
      </w:r>
      <w:r>
        <w:rPr>
          <w:rFonts w:ascii="Times New Roman"/>
          <w:b w:val="false"/>
          <w:i w:val="false"/>
          <w:color w:val="000000"/>
          <w:sz w:val="28"/>
        </w:rPr>
        <w:t xml:space="preserve">
      8. Заемщик будет применять следующий метод при отборе и привлечении указанных консультационных услуг в соответствии с, среди прочего, процедурами, описанными в плане закупок: отбор на основе наименьшей цены для привлечения услуг внешнего мониторинга охранных мер. </w:t>
      </w:r>
    </w:p>
    <w:bookmarkEnd w:id="52"/>
    <w:bookmarkStart w:name="z82"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p>
    <w:bookmarkEnd w:id="53"/>
    <w:bookmarkStart w:name="z83" w:id="54"/>
    <w:p>
      <w:pPr>
        <w:spacing w:after="0"/>
        <w:ind w:left="0"/>
        <w:jc w:val="both"/>
      </w:pPr>
      <w:r>
        <w:rPr>
          <w:rFonts w:ascii="Times New Roman"/>
          <w:b w:val="false"/>
          <w:i w:val="false"/>
          <w:color w:val="000000"/>
          <w:sz w:val="28"/>
        </w:rPr>
        <w:t>
      9. (а) Заемщик обеспечит, что приобретаемые работы (включая, но не ограничиваясь всем компьютерным аппаратным и программным обеспечением и компьютерными системами, приобретенными либо отдельно, либо в составе прочих закупаемых товаров и услуг) не нарушают права или требования третьих лиц на промышленную или интеллектуальную собственность.</w:t>
      </w:r>
      <w:r>
        <w:br/>
      </w:r>
      <w:r>
        <w:rPr>
          <w:rFonts w:ascii="Times New Roman"/>
          <w:b w:val="false"/>
          <w:i w:val="false"/>
          <w:color w:val="000000"/>
          <w:sz w:val="28"/>
        </w:rPr>
        <w:t>
      (b) Заемщик обеспечит, что все контракты по закупкам работ содержат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w:t>
      </w:r>
      <w:r>
        <w:br/>
      </w:r>
      <w:r>
        <w:rPr>
          <w:rFonts w:ascii="Times New Roman"/>
          <w:b w:val="false"/>
          <w:i w:val="false"/>
          <w:color w:val="000000"/>
          <w:sz w:val="28"/>
        </w:rPr>
        <w:t>
</w:t>
      </w:r>
      <w:r>
        <w:rPr>
          <w:rFonts w:ascii="Times New Roman"/>
          <w:b w:val="false"/>
          <w:i w:val="false"/>
          <w:color w:val="000000"/>
          <w:sz w:val="28"/>
        </w:rPr>
        <w:t>
      10. Заемщик обеспечит, что все контракты с консультантами финансируемые АБР, содержат соответствующие заверения, гарантии и, если необходимо гарантии возмещения убытков со стороны консультантов, для того, чтобы убедиться в том, что предоставляемые консультационные услуги не нарушают права или требования третьих лиц на промышленную или интеллектуальную собственность.</w:t>
      </w:r>
    </w:p>
    <w:bookmarkEnd w:id="54"/>
    <w:bookmarkStart w:name="z85"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bookmarkEnd w:id="55"/>
    <w:bookmarkStart w:name="z86" w:id="56"/>
    <w:p>
      <w:pPr>
        <w:spacing w:after="0"/>
        <w:ind w:left="0"/>
        <w:jc w:val="both"/>
      </w:pPr>
      <w:r>
        <w:rPr>
          <w:rFonts w:ascii="Times New Roman"/>
          <w:b w:val="false"/>
          <w:i w:val="false"/>
          <w:color w:val="000000"/>
          <w:sz w:val="28"/>
        </w:rPr>
        <w:t>
      11. Контракты, приобретаемые в соответствии с международными конкурсными процедурами, и контракты на консультационные услуги подлежат предварительному рассмотрению АБР, если иное не оговорено между заемщиком и АБР и не указано в Плане закупок.</w:t>
      </w:r>
      <w:r>
        <w:br/>
      </w:r>
      <w:r>
        <w:rPr>
          <w:rFonts w:ascii="Times New Roman"/>
          <w:b w:val="false"/>
          <w:i w:val="false"/>
          <w:color w:val="000000"/>
          <w:sz w:val="28"/>
        </w:rPr>
        <w:t>
</w:t>
      </w:r>
      <w:r>
        <w:rPr>
          <w:rFonts w:ascii="Times New Roman"/>
          <w:b w:val="false"/>
          <w:i w:val="false"/>
          <w:color w:val="000000"/>
          <w:sz w:val="28"/>
        </w:rPr>
        <w:t>
      12. Заемщик должен получить одобрение со стороны АБР, прежде чем:</w:t>
      </w:r>
      <w:r>
        <w:br/>
      </w:r>
      <w:r>
        <w:rPr>
          <w:rFonts w:ascii="Times New Roman"/>
          <w:b w:val="false"/>
          <w:i w:val="false"/>
          <w:color w:val="000000"/>
          <w:sz w:val="28"/>
        </w:rPr>
        <w:t xml:space="preserve">
      (а) предоставить любое продление установленного периода на завершение работ по контракту; или </w:t>
      </w:r>
      <w:r>
        <w:br/>
      </w:r>
      <w:r>
        <w:rPr>
          <w:rFonts w:ascii="Times New Roman"/>
          <w:b w:val="false"/>
          <w:i w:val="false"/>
          <w:color w:val="000000"/>
          <w:sz w:val="28"/>
        </w:rPr>
        <w:t xml:space="preserve">
      (b) согласиться на любые изменения или отказ по условиям контракта на работы, в том числе любые уведомления об изменениях, исходя из пунктов (с) и (d) ниже; или </w:t>
      </w:r>
      <w:r>
        <w:br/>
      </w:r>
      <w:r>
        <w:rPr>
          <w:rFonts w:ascii="Times New Roman"/>
          <w:b w:val="false"/>
          <w:i w:val="false"/>
          <w:color w:val="000000"/>
          <w:sz w:val="28"/>
        </w:rPr>
        <w:t xml:space="preserve">
      (c) издать любое уведомление об изменениях в рамках контракта на работы, которое в общей сумме увеличит первоначальную цену контракта (во избежание сомнений, такая общая сумма должна учитывать любые предыдущие или одновременные уведомления об изменениях или распоряжения по такому контракту); или </w:t>
      </w:r>
      <w:r>
        <w:br/>
      </w:r>
      <w:r>
        <w:rPr>
          <w:rFonts w:ascii="Times New Roman"/>
          <w:b w:val="false"/>
          <w:i w:val="false"/>
          <w:color w:val="000000"/>
          <w:sz w:val="28"/>
        </w:rPr>
        <w:t xml:space="preserve">
      (d) издать любое уведомление об изменениях в рамках контракта на работы, которое повлияет на цену более чем на 15 % от первоначальной цены контракта (либо посредством увеличения, либо уменьшения), даже если суммарный эффект такого уведомления об изменениях в общей сумме не увеличит первоначальную цену контракта. Во избежание сомнений, такая общая сумма должна учитывать любые предыдущие или одновременные уведомления об изменениях или распоряжения по такому контракту. </w:t>
      </w:r>
      <w:r>
        <w:br/>
      </w:r>
      <w:r>
        <w:rPr>
          <w:rFonts w:ascii="Times New Roman"/>
          <w:b w:val="false"/>
          <w:i w:val="false"/>
          <w:color w:val="000000"/>
          <w:sz w:val="28"/>
        </w:rPr>
        <w:t>
</w:t>
      </w:r>
      <w:r>
        <w:rPr>
          <w:rFonts w:ascii="Times New Roman"/>
          <w:b w:val="false"/>
          <w:i w:val="false"/>
          <w:color w:val="000000"/>
          <w:sz w:val="28"/>
        </w:rPr>
        <w:t>
      13. АБР должен отвечать на каждый запрос на утверждение в соответствии с вышеуказанным </w:t>
      </w:r>
      <w:r>
        <w:rPr>
          <w:rFonts w:ascii="Times New Roman"/>
          <w:b w:val="false"/>
          <w:i w:val="false"/>
          <w:color w:val="000000"/>
          <w:sz w:val="28"/>
        </w:rPr>
        <w:t>пунктом 12</w:t>
      </w:r>
      <w:r>
        <w:rPr>
          <w:rFonts w:ascii="Times New Roman"/>
          <w:b w:val="false"/>
          <w:i w:val="false"/>
          <w:color w:val="000000"/>
          <w:sz w:val="28"/>
        </w:rPr>
        <w:t xml:space="preserve"> в течение 7 рабочих дней (в Маниле) после получения АБР такого запроса. Такой ответ будет означать, что запрос: (а) утвержден, (b) отклонен, (с) решение по нему отложено до получения дополнительной информации или документации; или (d) решение по нему отложено до его рассмотрения Комитетом по закупкам АБР, в каждом случае, как это определено АБР. Если АБР не отвечает в течение 7 рабочих дней (в Маниле) после получения АБР такого запроса, запрос (за исключением, если этот запрос подлежит рассмотрению Комитетом по закупкам АБР) будет считаться утвержденным АБР. В случае (с) заемщик должен незамедлительно представить запрашиваемую информацию или документацию в АБР, и АБР должен ответить на соответствующий запрос в течение 7 рабочих дней (в Маниле) после получения такой запрашиваемой информации или документации, удовлетворяющей АБР. В случае (d) АБР должен уведомить заемщика о решении Комитета по закупкам в течение 7 рабочих дней (в Маниле) после принятия такого решения Комитетом по закупкам.</w:t>
      </w:r>
      <w:r>
        <w:br/>
      </w:r>
      <w:r>
        <w:rPr>
          <w:rFonts w:ascii="Times New Roman"/>
          <w:b w:val="false"/>
          <w:i w:val="false"/>
          <w:color w:val="000000"/>
          <w:sz w:val="28"/>
        </w:rPr>
        <w:t>
</w:t>
      </w:r>
      <w:r>
        <w:rPr>
          <w:rFonts w:ascii="Times New Roman"/>
          <w:b w:val="false"/>
          <w:i w:val="false"/>
          <w:color w:val="000000"/>
          <w:sz w:val="28"/>
        </w:rPr>
        <w:t>
      14. Заемщик будет, либо обязан обеспечить, чтобы МТК:</w:t>
      </w:r>
      <w:r>
        <w:br/>
      </w:r>
      <w:r>
        <w:rPr>
          <w:rFonts w:ascii="Times New Roman"/>
          <w:b w:val="false"/>
          <w:i w:val="false"/>
          <w:color w:val="000000"/>
          <w:sz w:val="28"/>
        </w:rPr>
        <w:t>
      (a) представило в АБР в течение 7 дней копии всех документов по продлению сроков, изменениям или отказам от контрактов (включая уведомления об изменениях) после одобрения АБР в соответствии с вышеуказанным </w:t>
      </w:r>
      <w:r>
        <w:rPr>
          <w:rFonts w:ascii="Times New Roman"/>
          <w:b w:val="false"/>
          <w:i w:val="false"/>
          <w:color w:val="000000"/>
          <w:sz w:val="28"/>
        </w:rPr>
        <w:t>пунктом 12</w:t>
      </w:r>
      <w:r>
        <w:rPr>
          <w:rFonts w:ascii="Times New Roman"/>
          <w:b w:val="false"/>
          <w:i w:val="false"/>
          <w:color w:val="000000"/>
          <w:sz w:val="28"/>
        </w:rPr>
        <w:t xml:space="preserve">, и изменения АБР в контракты; а также </w:t>
      </w:r>
      <w:r>
        <w:br/>
      </w:r>
      <w:r>
        <w:rPr>
          <w:rFonts w:ascii="Times New Roman"/>
          <w:b w:val="false"/>
          <w:i w:val="false"/>
          <w:color w:val="000000"/>
          <w:sz w:val="28"/>
        </w:rPr>
        <w:t xml:space="preserve">
      (b) вело учет всех уведомлений об изменениях по всем контрактам на работы, которые не требуют предварительного одобрения АБР в соответствии с вышеуказанным пунктом 12, и представляло такой учет на рассмотрение АБР каждые 6 месяцев. </w:t>
      </w:r>
    </w:p>
    <w:bookmarkEnd w:id="56"/>
    <w:bookmarkStart w:name="z91" w:id="57"/>
    <w:p>
      <w:pPr>
        <w:spacing w:after="0"/>
        <w:ind w:left="0"/>
        <w:jc w:val="left"/>
      </w:pPr>
      <w:r>
        <w:rPr>
          <w:rFonts w:ascii="Times New Roman"/>
          <w:b/>
          <w:i w:val="false"/>
          <w:color w:val="000000"/>
        </w:rPr>
        <w:t xml:space="preserve"> 
ПРИЛОЖЕНИЕ 5</w:t>
      </w:r>
    </w:p>
    <w:bookmarkEnd w:id="57"/>
    <w:bookmarkStart w:name="z90" w:id="58"/>
    <w:p>
      <w:pPr>
        <w:spacing w:after="0"/>
        <w:ind w:left="0"/>
        <w:jc w:val="left"/>
      </w:pPr>
      <w:r>
        <w:rPr>
          <w:rFonts w:ascii="Times New Roman"/>
          <w:b/>
          <w:i w:val="false"/>
          <w:color w:val="000000"/>
        </w:rPr>
        <w:t xml:space="preserve"> 
Исполнение проекта; финансовые вопросы</w:t>
      </w:r>
    </w:p>
    <w:bookmarkEnd w:id="58"/>
    <w:bookmarkStart w:name="z92"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Мероприятия по реализации</w:t>
      </w:r>
    </w:p>
    <w:bookmarkEnd w:id="59"/>
    <w:bookmarkStart w:name="z93" w:id="60"/>
    <w:p>
      <w:pPr>
        <w:spacing w:after="0"/>
        <w:ind w:left="0"/>
        <w:jc w:val="both"/>
      </w:pPr>
      <w:r>
        <w:rPr>
          <w:rFonts w:ascii="Times New Roman"/>
          <w:b w:val="false"/>
          <w:i w:val="false"/>
          <w:color w:val="000000"/>
          <w:sz w:val="28"/>
        </w:rPr>
        <w:t>
      1. Заемщик и МТК обеспечат, что проект реализуется в соответствии с определенными мероприятиями, изложенными в РУП. Любые последующие изменения в РУП вступят в силу только после утверждения таких изменений заемщиком и АБР. В случае любого несоответствия между РУП и настоящим Соглашением о займе, положения настоящего Соглашения о займе будут иметь преимущественную силу.</w:t>
      </w:r>
    </w:p>
    <w:bookmarkEnd w:id="60"/>
    <w:bookmarkStart w:name="z94"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bookmarkEnd w:id="61"/>
    <w:bookmarkStart w:name="z95" w:id="62"/>
    <w:p>
      <w:pPr>
        <w:spacing w:after="0"/>
        <w:ind w:left="0"/>
        <w:jc w:val="both"/>
      </w:pPr>
      <w:r>
        <w:rPr>
          <w:rFonts w:ascii="Times New Roman"/>
          <w:b w:val="false"/>
          <w:i w:val="false"/>
          <w:color w:val="000000"/>
          <w:sz w:val="28"/>
        </w:rPr>
        <w:t>
      2. Заемщик поручит МТК обеспечить, что подготовка, проектирование, строительство, реализация и эксплуатация проекта соответствуют: (а) всем применимым законам и нормативным актам заемщика, связанным с окружающей средой, здоровьем и безопасностью; (b) политике в отношении окружающей среды; и (с) всем мерам и требованиям, изложенным в ПЭО, ПУОС, и любым корректирующим или превентивным действиям, изложенным в отчете мониторинга охранных мер.</w:t>
      </w:r>
    </w:p>
    <w:bookmarkEnd w:id="62"/>
    <w:bookmarkStart w:name="z96" w:id="6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Приобретение земельных участков и вынужденное переселение</w:t>
      </w:r>
    </w:p>
    <w:bookmarkEnd w:id="63"/>
    <w:bookmarkStart w:name="z97" w:id="64"/>
    <w:p>
      <w:pPr>
        <w:spacing w:after="0"/>
        <w:ind w:left="0"/>
        <w:jc w:val="both"/>
      </w:pPr>
      <w:r>
        <w:rPr>
          <w:rFonts w:ascii="Times New Roman"/>
          <w:b w:val="false"/>
          <w:i w:val="false"/>
          <w:color w:val="000000"/>
          <w:sz w:val="28"/>
        </w:rPr>
        <w:t xml:space="preserve">
      3. Заемщик поручит МТК обеспечить, чтобы все земельные участки и полоса отвода, необходимые для проекта, были доступны подрядчику в соответствии с графиком, согласованным в рамках соответствующего контракта на работы, и мероприятия по приобретению земли и защитные меры по переселению осуществлялись в соответствии с (а) всеми применимыми законами и нормативными актами заемщика, связанными с приобретением земли и вынужденным переселением; и (b) защитными мерами вынужденного переселения (если требуется); (с) РДВЗП; и (d) всеми мерами и требованиями, изложенными в ПВЗП (если требуется), а также любыми корректирующими или превентивными мерами, изложенными в отчете мониторинга охранных мер. </w:t>
      </w:r>
      <w:r>
        <w:br/>
      </w:r>
      <w:r>
        <w:rPr>
          <w:rFonts w:ascii="Times New Roman"/>
          <w:b w:val="false"/>
          <w:i w:val="false"/>
          <w:color w:val="000000"/>
          <w:sz w:val="28"/>
        </w:rPr>
        <w:t>
</w:t>
      </w:r>
      <w:r>
        <w:rPr>
          <w:rFonts w:ascii="Times New Roman"/>
          <w:b w:val="false"/>
          <w:i w:val="false"/>
          <w:color w:val="000000"/>
          <w:sz w:val="28"/>
        </w:rPr>
        <w:t>
      4. Не ограничивая применение защитных мер вынужденного переселения, РДВЗП или, если требуется, ПВЗП, заемщик поручит МТК обеспечить, чтобы ни физическое, ни экономическое переселение не имело место в связи с проектом до полной реализации (если требуется) ПВЗП.</w:t>
      </w:r>
    </w:p>
    <w:bookmarkEnd w:id="64"/>
    <w:bookmarkStart w:name="z99" w:id="6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Коренные народы</w:t>
      </w:r>
    </w:p>
    <w:bookmarkEnd w:id="65"/>
    <w:bookmarkStart w:name="z100" w:id="66"/>
    <w:p>
      <w:pPr>
        <w:spacing w:after="0"/>
        <w:ind w:left="0"/>
        <w:jc w:val="both"/>
      </w:pPr>
      <w:r>
        <w:rPr>
          <w:rFonts w:ascii="Times New Roman"/>
          <w:b w:val="false"/>
          <w:i w:val="false"/>
          <w:color w:val="000000"/>
          <w:sz w:val="28"/>
        </w:rPr>
        <w:t>
      5. Заемщик поручит МТК обеспечить, что проект не оказывает какого-либо воздействия на коренные народы по смыслу ПМЗ. Если такое воздействие имеет мecтo, то заемщик должен поручить МТК подготовить, раскрыть и реализовывать план по коренным народам в соответствии со всеми применимыми законами и нормативными актами заемщика, связанными с коренными народами и МТК.</w:t>
      </w:r>
    </w:p>
    <w:bookmarkEnd w:id="66"/>
    <w:bookmarkStart w:name="z101" w:id="67"/>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защитных мер</w:t>
      </w:r>
    </w:p>
    <w:bookmarkEnd w:id="67"/>
    <w:bookmarkStart w:name="z102" w:id="68"/>
    <w:p>
      <w:pPr>
        <w:spacing w:after="0"/>
        <w:ind w:left="0"/>
        <w:jc w:val="both"/>
      </w:pPr>
      <w:r>
        <w:rPr>
          <w:rFonts w:ascii="Times New Roman"/>
          <w:b w:val="false"/>
          <w:i w:val="false"/>
          <w:color w:val="000000"/>
          <w:sz w:val="28"/>
        </w:rPr>
        <w:t>
      6. Заемщик должен поручить МТК предоставить необходимые бюджетные и человеческие ресурсы для полного осуществления ПУОС и, если требуется, ПВЗП.</w:t>
      </w:r>
    </w:p>
    <w:bookmarkEnd w:id="68"/>
    <w:bookmarkStart w:name="z103" w:id="69"/>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Защитные меры - соответствующие положения в тендерной документации и контрактах на работы</w:t>
      </w:r>
    </w:p>
    <w:bookmarkEnd w:id="69"/>
    <w:bookmarkStart w:name="z104" w:id="70"/>
    <w:p>
      <w:pPr>
        <w:spacing w:after="0"/>
        <w:ind w:left="0"/>
        <w:jc w:val="both"/>
      </w:pPr>
      <w:r>
        <w:rPr>
          <w:rFonts w:ascii="Times New Roman"/>
          <w:b w:val="false"/>
          <w:i w:val="false"/>
          <w:color w:val="000000"/>
          <w:sz w:val="28"/>
        </w:rPr>
        <w:t>
      7. Заемщик поручит МТК обеспечить,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xml:space="preserve">
      (а) соблюдать меры, имеющие отношение к подрядчику, изложенные в ПЭО, ПУОС и, если требуется, ПВЗП, и любые корректирующие или превентивные действия, изложенные в отчете по мониторингу защитных мер; </w:t>
      </w:r>
      <w:r>
        <w:br/>
      </w:r>
      <w:r>
        <w:rPr>
          <w:rFonts w:ascii="Times New Roman"/>
          <w:b w:val="false"/>
          <w:i w:val="false"/>
          <w:color w:val="000000"/>
          <w:sz w:val="28"/>
        </w:rPr>
        <w:t xml:space="preserve">
      (b) предоставить бюджетные средства на все эти экологические и социальные меры; </w:t>
      </w:r>
      <w:r>
        <w:br/>
      </w:r>
      <w:r>
        <w:rPr>
          <w:rFonts w:ascii="Times New Roman"/>
          <w:b w:val="false"/>
          <w:i w:val="false"/>
          <w:color w:val="000000"/>
          <w:sz w:val="28"/>
        </w:rPr>
        <w:t xml:space="preserve">
      (c) предоставить МТК письменное уведомление о любых непредвиденных рисках, связанных с экологией, переселением или коренными народами, или воздействиях, которые возникают в процессе строительства, реализации или эксплуатации проекта и которые не были рассмотрены в ПЭО, ПУОС и, если требуется, ПВЗП; </w:t>
      </w:r>
      <w:r>
        <w:br/>
      </w:r>
      <w:r>
        <w:rPr>
          <w:rFonts w:ascii="Times New Roman"/>
          <w:b w:val="false"/>
          <w:i w:val="false"/>
          <w:color w:val="000000"/>
          <w:sz w:val="28"/>
        </w:rPr>
        <w:t xml:space="preserve">
      (d) в достаточной степени задокументировать состояние дорог, сельскохозяйственных угодий и других объектов инфраструктуры до начала перевозки материалов и строительства; а также </w:t>
      </w:r>
      <w:r>
        <w:br/>
      </w:r>
      <w:r>
        <w:rPr>
          <w:rFonts w:ascii="Times New Roman"/>
          <w:b w:val="false"/>
          <w:i w:val="false"/>
          <w:color w:val="000000"/>
          <w:sz w:val="28"/>
        </w:rPr>
        <w:t xml:space="preserve">
      (e) восстановить пути, другую местную инфраструктуру и сельскохозяйственные угодья по крайней мере до их предпроектного состояния, после завершения строительства. </w:t>
      </w:r>
    </w:p>
    <w:bookmarkEnd w:id="70"/>
    <w:bookmarkStart w:name="z105" w:id="71"/>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bookmarkEnd w:id="71"/>
    <w:bookmarkStart w:name="z106" w:id="72"/>
    <w:p>
      <w:pPr>
        <w:spacing w:after="0"/>
        <w:ind w:left="0"/>
        <w:jc w:val="both"/>
      </w:pPr>
      <w:r>
        <w:rPr>
          <w:rFonts w:ascii="Times New Roman"/>
          <w:b w:val="false"/>
          <w:i w:val="false"/>
          <w:color w:val="000000"/>
          <w:sz w:val="28"/>
        </w:rPr>
        <w:t>
      8. Заемщик поручит МТК выполнить следующее:</w:t>
      </w:r>
      <w:r>
        <w:br/>
      </w:r>
      <w:r>
        <w:rPr>
          <w:rFonts w:ascii="Times New Roman"/>
          <w:b w:val="false"/>
          <w:i w:val="false"/>
          <w:color w:val="000000"/>
          <w:sz w:val="28"/>
        </w:rPr>
        <w:t xml:space="preserve">
      (a) представить в АБР отчеты по мониторингу защитных мер (i) раз в полугодие в период строительства и (ii) ежегодно во время эксплуатации, и раскрывать соответствующую информацию из таких отчетов лицам, чьи интересы затронуты, незамедлительно после представления; </w:t>
      </w:r>
      <w:r>
        <w:br/>
      </w:r>
      <w:r>
        <w:rPr>
          <w:rFonts w:ascii="Times New Roman"/>
          <w:b w:val="false"/>
          <w:i w:val="false"/>
          <w:color w:val="000000"/>
          <w:sz w:val="28"/>
        </w:rPr>
        <w:t xml:space="preserve">
      (b) если какие-либо непредвиденные риски, связанные с экологией, и/или социальные риски и воздействия, не предусмотренные в ПЭО, ПУОС и, если требуется, ПВЗП, возникли во время строительства, реализации или эксплуатации проекта, необходимо незамедлительно информировать АБР о возникновении таких рисков или воздействий с подробным описанием событий и предлагаемым планом корректирующих действий; </w:t>
      </w:r>
      <w:r>
        <w:br/>
      </w:r>
      <w:r>
        <w:rPr>
          <w:rFonts w:ascii="Times New Roman"/>
          <w:b w:val="false"/>
          <w:i w:val="false"/>
          <w:color w:val="000000"/>
          <w:sz w:val="28"/>
        </w:rPr>
        <w:t>
      (c) не позднее даты присуждения контракта на работы назначить квалифицированных и опытных внешних экспертов или квалифицированные НПО (которые, во избежание сомнений, должны быть включены в консультационные услуги, финансируемые из средств займа в соответствии с </w:t>
      </w:r>
      <w:r>
        <w:rPr>
          <w:rFonts w:ascii="Times New Roman"/>
          <w:b w:val="false"/>
          <w:i w:val="false"/>
          <w:color w:val="000000"/>
          <w:sz w:val="28"/>
        </w:rPr>
        <w:t>пунктом 2</w:t>
      </w:r>
      <w:r>
        <w:rPr>
          <w:rFonts w:ascii="Times New Roman"/>
          <w:b w:val="false"/>
          <w:i w:val="false"/>
          <w:color w:val="000000"/>
          <w:sz w:val="28"/>
        </w:rPr>
        <w:t>(b) приложения 1 к настоящему Соглашению о займе и статьей № 2 таблицы, добавленной к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 о займе) в рамках процесса отбора и технического задания, приемлемого для АБР, проверять информацию, получаемую посредством мониторинга проекта, а также содействовать проведению любой деятельности по проверке такими внешними экспертами, и </w:t>
      </w:r>
      <w:r>
        <w:br/>
      </w:r>
      <w:r>
        <w:rPr>
          <w:rFonts w:ascii="Times New Roman"/>
          <w:b w:val="false"/>
          <w:i w:val="false"/>
          <w:color w:val="000000"/>
          <w:sz w:val="28"/>
        </w:rPr>
        <w:t xml:space="preserve">
      (d) сообщать о любых фактических или потенциальных нарушениях соблюдения мер и требований, изложенных в ПУОС или ПВЗП, незамедлительно после того, как стало известно о таком нарушении. </w:t>
      </w:r>
    </w:p>
    <w:bookmarkEnd w:id="72"/>
    <w:bookmarkStart w:name="z107" w:id="73"/>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bookmarkEnd w:id="73"/>
    <w:bookmarkStart w:name="z108" w:id="74"/>
    <w:p>
      <w:pPr>
        <w:spacing w:after="0"/>
        <w:ind w:left="0"/>
        <w:jc w:val="both"/>
      </w:pPr>
      <w:r>
        <w:rPr>
          <w:rFonts w:ascii="Times New Roman"/>
          <w:b w:val="false"/>
          <w:i w:val="false"/>
          <w:color w:val="000000"/>
          <w:sz w:val="28"/>
        </w:rPr>
        <w:t>
      9. Заемщик обеспечит,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в приложении 5 ПМЗ.</w:t>
      </w:r>
    </w:p>
    <w:bookmarkEnd w:id="74"/>
    <w:bookmarkStart w:name="z109" w:id="75"/>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Стандарты труда</w:t>
      </w:r>
    </w:p>
    <w:bookmarkEnd w:id="75"/>
    <w:bookmarkStart w:name="z110" w:id="76"/>
    <w:p>
      <w:pPr>
        <w:spacing w:after="0"/>
        <w:ind w:left="0"/>
        <w:jc w:val="both"/>
      </w:pPr>
      <w:r>
        <w:rPr>
          <w:rFonts w:ascii="Times New Roman"/>
          <w:b w:val="false"/>
          <w:i w:val="false"/>
          <w:color w:val="000000"/>
          <w:sz w:val="28"/>
        </w:rPr>
        <w:t>
      10. Заемщик поручит МТК обеспечить включение положений в контракты на работы с тем, чтобы подрядчики (а) соблюдали применимые трудовое законодательство и трудовые нормативные акты заемщика и применение соответствующих норм безопасности труда на рабочем месте;</w:t>
      </w:r>
      <w:r>
        <w:br/>
      </w:r>
      <w:r>
        <w:rPr>
          <w:rFonts w:ascii="Times New Roman"/>
          <w:b w:val="false"/>
          <w:i w:val="false"/>
          <w:color w:val="000000"/>
          <w:sz w:val="28"/>
        </w:rPr>
        <w:t>
      (b) не дифференцировали оплату мужчинам и женщинам за равный труд; (с) не использовали детский труд при строительстве и мероприятиях по техническому обслуживанию дорог; (d) в возможном объеме обеспечивали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(е) содействовали трудоустройству опытных и неопытных работающих женщин.</w:t>
      </w:r>
    </w:p>
    <w:bookmarkEnd w:id="76"/>
    <w:bookmarkStart w:name="z111" w:id="77"/>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здоровья</w:t>
      </w:r>
    </w:p>
    <w:bookmarkEnd w:id="77"/>
    <w:bookmarkStart w:name="z112" w:id="78"/>
    <w:p>
      <w:pPr>
        <w:spacing w:after="0"/>
        <w:ind w:left="0"/>
        <w:jc w:val="both"/>
      </w:pPr>
      <w:r>
        <w:rPr>
          <w:rFonts w:ascii="Times New Roman"/>
          <w:b w:val="false"/>
          <w:i w:val="false"/>
          <w:color w:val="000000"/>
          <w:sz w:val="28"/>
        </w:rPr>
        <w:t>
      11. Заемщик поручит МТК обеспечить распространение информации о рисках заболеваний, распространяющихся половым путем, в том числе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проекту.</w:t>
      </w:r>
    </w:p>
    <w:bookmarkEnd w:id="78"/>
    <w:bookmarkStart w:name="z113" w:id="79"/>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Поддержка партнерской стороны</w:t>
      </w:r>
    </w:p>
    <w:bookmarkEnd w:id="79"/>
    <w:bookmarkStart w:name="z114" w:id="80"/>
    <w:p>
      <w:pPr>
        <w:spacing w:after="0"/>
        <w:ind w:left="0"/>
        <w:jc w:val="both"/>
      </w:pPr>
      <w:r>
        <w:rPr>
          <w:rFonts w:ascii="Times New Roman"/>
          <w:b w:val="false"/>
          <w:i w:val="false"/>
          <w:color w:val="000000"/>
          <w:sz w:val="28"/>
        </w:rPr>
        <w:t>
      12. Не ограничивая общий смысл раздела 4.02 настоящего Соглашения о займе, заемщик обеспечит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обеспечит, что такие средства предоставляются МТК своевременно. Заемщик поручит МТК убедиться в том, что оно включает все изменяемые потребности в финансировании для реализации проекта в его ежегодных программах развития.</w:t>
      </w:r>
    </w:p>
    <w:bookmarkEnd w:id="80"/>
    <w:bookmarkStart w:name="z115" w:id="81"/>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bookmarkEnd w:id="81"/>
    <w:bookmarkStart w:name="z116" w:id="82"/>
    <w:p>
      <w:pPr>
        <w:spacing w:after="0"/>
        <w:ind w:left="0"/>
        <w:jc w:val="both"/>
      </w:pPr>
      <w:r>
        <w:rPr>
          <w:rFonts w:ascii="Times New Roman"/>
          <w:b w:val="false"/>
          <w:i w:val="false"/>
          <w:color w:val="000000"/>
          <w:sz w:val="28"/>
        </w:rPr>
        <w:t>
      13.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bookmarkEnd w:id="82"/>
    <w:bookmarkStart w:name="z117" w:id="83"/>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Недопущение незаконной торговли</w:t>
      </w:r>
    </w:p>
    <w:bookmarkEnd w:id="83"/>
    <w:bookmarkStart w:name="z118" w:id="84"/>
    <w:p>
      <w:pPr>
        <w:spacing w:after="0"/>
        <w:ind w:left="0"/>
        <w:jc w:val="both"/>
      </w:pPr>
      <w:r>
        <w:rPr>
          <w:rFonts w:ascii="Times New Roman"/>
          <w:b w:val="false"/>
          <w:i w:val="false"/>
          <w:color w:val="000000"/>
          <w:sz w:val="28"/>
        </w:rPr>
        <w:t>
      14. Заемщик обеспечит полное выполнение на проектной дороге надежных и строгих мер для выявления и предотвращения незаконной торговли людьми, дикими животными, редкими видами животных и контролируемыми веществами.</w:t>
      </w:r>
    </w:p>
    <w:bookmarkEnd w:id="84"/>
    <w:bookmarkStart w:name="z119" w:id="85"/>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Эксплуатация и техническое обслуживание (О &amp; М)</w:t>
      </w:r>
    </w:p>
    <w:bookmarkEnd w:id="85"/>
    <w:bookmarkStart w:name="z120" w:id="86"/>
    <w:p>
      <w:pPr>
        <w:spacing w:after="0"/>
        <w:ind w:left="0"/>
        <w:jc w:val="both"/>
      </w:pPr>
      <w:r>
        <w:rPr>
          <w:rFonts w:ascii="Times New Roman"/>
          <w:b w:val="false"/>
          <w:i w:val="false"/>
          <w:color w:val="000000"/>
          <w:sz w:val="28"/>
        </w:rPr>
        <w:t>
      15. Не ограничивая общий смысл разделов 4.02 и 4.07 настоящего Соглашения и </w:t>
      </w:r>
      <w:r>
        <w:rPr>
          <w:rFonts w:ascii="Times New Roman"/>
          <w:b w:val="false"/>
          <w:i w:val="false"/>
          <w:color w:val="000000"/>
          <w:sz w:val="28"/>
        </w:rPr>
        <w:t>пункта 12</w:t>
      </w:r>
      <w:r>
        <w:rPr>
          <w:rFonts w:ascii="Times New Roman"/>
          <w:b w:val="false"/>
          <w:i w:val="false"/>
          <w:color w:val="000000"/>
          <w:sz w:val="28"/>
        </w:rPr>
        <w:t xml:space="preserve"> настоящего приложения 5, заемщик выделит из своего бюджета и незамедлительно сделает доступным для МТК достаточное количество средств для адекватной эксплуатации и технического обслуживания проектной дороги, которые могут потребоваться после завершения проекта и в каждом последующем финансовом году, и гарантирует, что проектная дорога будет эксплуатироваться и обслуживаться в соответствии с обоснованной практикой.</w:t>
      </w:r>
    </w:p>
    <w:bookmarkEnd w:id="86"/>
    <w:bookmarkStart w:name="z121" w:id="87"/>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и борьба с коррупцией</w:t>
      </w:r>
    </w:p>
    <w:bookmarkEnd w:id="87"/>
    <w:bookmarkStart w:name="z122" w:id="88"/>
    <w:p>
      <w:pPr>
        <w:spacing w:after="0"/>
        <w:ind w:left="0"/>
        <w:jc w:val="both"/>
      </w:pPr>
      <w:r>
        <w:rPr>
          <w:rFonts w:ascii="Times New Roman"/>
          <w:b w:val="false"/>
          <w:i w:val="false"/>
          <w:color w:val="000000"/>
          <w:sz w:val="28"/>
        </w:rPr>
        <w:t xml:space="preserve">
      16. Заемщик и МТК будут (а) следовать политике АБР по борьбе с коррупцией (1998 год, с поправками на настоящее время) и согласятся, что АБР оставляет за собой право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и содействовать любому такому расследованию в необходимой степени для оказания поддержки для удовлетворительного завершения такого расследования. </w:t>
      </w:r>
      <w:r>
        <w:br/>
      </w:r>
      <w:r>
        <w:rPr>
          <w:rFonts w:ascii="Times New Roman"/>
          <w:b w:val="false"/>
          <w:i w:val="false"/>
          <w:color w:val="000000"/>
          <w:sz w:val="28"/>
        </w:rPr>
        <w:t>
</w:t>
      </w:r>
      <w:r>
        <w:rPr>
          <w:rFonts w:ascii="Times New Roman"/>
          <w:b w:val="false"/>
          <w:i w:val="false"/>
          <w:color w:val="000000"/>
          <w:sz w:val="28"/>
        </w:rPr>
        <w:t xml:space="preserve">
      17. Заемщик поручит МТК убедиться в том, что положения по борьбе с коррупцией, приемлемые для АБР, включены во все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других поставщиков услуг, относящихся к проекту. </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