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a1a0" w14:textId="921a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15 апреля 2013 года № 541.</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указы Президента Республики Казахстан.</w:t>
      </w:r>
    </w:p>
    <w:bookmarkEnd w:id="1"/>
    <w:bookmarkStart w:name="z3" w:id="2"/>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2013 года № 541</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которые вносятся в некоторые указы</w:t>
      </w:r>
      <w:r>
        <w:br/>
      </w:r>
      <w:r>
        <w:rPr>
          <w:rFonts w:ascii="Times New Roman"/>
          <w:b/>
          <w:i w:val="false"/>
          <w:color w:val="000000"/>
        </w:rPr>
        <w:t>Президента Республики Казахстан</w:t>
      </w:r>
    </w:p>
    <w:bookmarkEnd w:id="3"/>
    <w:bookmarkStart w:name="z6" w:id="4"/>
    <w:p>
      <w:pPr>
        <w:spacing w:after="0"/>
        <w:ind w:left="0"/>
        <w:jc w:val="both"/>
      </w:pPr>
      <w:r>
        <w:rPr>
          <w:rFonts w:ascii="Times New Roman"/>
          <w:b w:val="false"/>
          <w:i w:val="false"/>
          <w:color w:val="ff0000"/>
          <w:sz w:val="28"/>
        </w:rPr>
        <w:t xml:space="preserve">
      1.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4"/>
    <w:bookmarkStart w:name="z7"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(САПП Республики Казахстан, 2009 г., № 24-25, ст. 207; 2012 г., № 51, ст. 686):</w:t>
      </w:r>
    </w:p>
    <w:bookmarkEnd w:id="5"/>
    <w:bookmarkStart w:name="z16"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уставе</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утвержденном вышеназванным Указом:</w:t>
      </w:r>
    </w:p>
    <w:bookmarkEnd w:id="6"/>
    <w:bookmarkStart w:name="z17"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"Начальников департаментов, главных управлений (управлений) Министерства обороны, Генерального штаба Вооруженных Сил, центральных органов управления других войск и воинских формирований, а также по приглашению в воинскую часть почетных посетителей командир воинской части (корабля) встречает, представляется и сопровождает их по расположению воинской части (корабля).";</w:t>
      </w:r>
    </w:p>
    <w:bookmarkStart w:name="z18" w:id="8"/>
    <w:p>
      <w:pPr>
        <w:spacing w:after="0"/>
        <w:ind w:left="0"/>
        <w:jc w:val="both"/>
      </w:pPr>
      <w:r>
        <w:rPr>
          <w:rFonts w:ascii="Times New Roman"/>
          <w:b w:val="false"/>
          <w:i w:val="false"/>
          <w:color w:val="000000"/>
          <w:sz w:val="28"/>
        </w:rPr>
        <w:t xml:space="preserve">
      абзац четырнадцатый </w:t>
      </w:r>
      <w:r>
        <w:rPr>
          <w:rFonts w:ascii="Times New Roman"/>
          <w:b w:val="false"/>
          <w:i w:val="false"/>
          <w:color w:val="000000"/>
          <w:sz w:val="28"/>
        </w:rPr>
        <w:t>пункта 111</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"осуществлять снятие с хранения и эксплуатацию вооружения, военной и другой техники, других материальных средств неприкосновенного запаса только по приказам Министра обороны, начальника Генерального штаба Вооруженных Сил, руководителей других войск и воинских формирований;";</w:t>
      </w:r>
    </w:p>
    <w:bookmarkStart w:name="z19"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284</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"Проверки осуществляются Министром обороны, начальником Генерального штаба Вооруженных Сил, соответствующими руководителями других войск и воинских формирований, главнокомандующими видами, командующими родами войск, войсками региональных командований, командиром воинской части или лицами по их поручению внезапно и с установленными ограничениями.";</w:t>
      </w:r>
    </w:p>
    <w:bookmarkStart w:name="z20"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321</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"321. Состав дежурных сил и средств, их задачи и степени боевой готовности, продолжительность, порядок несения боевого дежурства, подготовки личного состава, вооружения, военной и другой техники к заступлению на боевое дежурство и их смены определяются приказом командира воинской части в соответствии с требованиями настоящего устава, приказов Министра обороны, соответствующих руководителей других войск и воинских формирований, начальника Генерального штаба Вооруженных Сил, главнокомандующих видами, командующих родами войск, войсками региональных командований и начальниками специальных войск.";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"324. Порядок заступления на боевое дежурство определяется приказами Министра обороны, начальника Генерального штаба Вооруженных Сил, соответствующих руководителей других войск и воинских формирований, главнокомандующих видами, командующих родами войск, войсками региональных командований и начальниками специальных войск.";</w:t>
      </w:r>
    </w:p>
    <w:bookmarkStart w:name="z22" w:id="11"/>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328</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"328. Полномочия, периодичность и порядок проверки боевого дежурства должностными лицами определяются Министром обороны, начальником Генерального штаба Вооруженных Сил, соответствующими руководителями других войск и воинских формирований.</w:t>
      </w:r>
    </w:p>
    <w:p>
      <w:pPr>
        <w:spacing w:after="0"/>
        <w:ind w:left="0"/>
        <w:jc w:val="both"/>
      </w:pPr>
      <w:r>
        <w:rPr>
          <w:rFonts w:ascii="Times New Roman"/>
          <w:b w:val="false"/>
          <w:i w:val="false"/>
          <w:color w:val="000000"/>
          <w:sz w:val="28"/>
        </w:rPr>
        <w:t>
      Проверка несения боевого дежурства осуществляется Министром обороны, начальником Генерального штаба Вооруженных Сил,  соответствующими руководителями других войск и воинских формирований, главнокомандующими видами, командующими родами войск, войсками региональных командований, начальниками специальных войск, командирами воинских частей или лицами по их поручению, для чего разрабатывается план проверки несения боевого дежурства.";</w:t>
      </w:r>
    </w:p>
    <w:bookmarkStart w:name="z23" w:id="1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399</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"При необходимости по приказу Министра обороны, начальника Генерального штаба Вооруженных Сил, руководителей других войск и воинских формирований в некоторых воинских частях дневальные и помощники дежурного по контрольно-пропускному пункту, суточный наряд роты и дневальные по парку могут вооружаться автоматами (карабинами) с двумя снаряженными магазинами.";</w:t>
      </w:r>
    </w:p>
    <w:bookmarkStart w:name="z2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уставу внутренней службы:</w:t>
      </w:r>
    </w:p>
    <w:bookmarkEnd w:id="13"/>
    <w:bookmarkStart w:name="z25" w:id="14"/>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"При расформировании воинской части боевое знамя и грамота отправляются с краткой исторической справкой секретным порядком, фельдсвязью, через Генеральный штаб Вооруженных Сил и уполномоченные органы других войск и воинских формирований для экспонирования и хранения в музеи. Ордена и документы к ним установленным порядком возвращаются Президенту Республики Казахстан.";</w:t>
      </w:r>
    </w:p>
    <w:bookmarkStart w:name="z26"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уставе</w:t>
      </w:r>
      <w:r>
        <w:rPr>
          <w:rFonts w:ascii="Times New Roman"/>
          <w:b w:val="false"/>
          <w:i w:val="false"/>
          <w:color w:val="000000"/>
          <w:sz w:val="28"/>
        </w:rPr>
        <w:t xml:space="preserve"> гарнизонной и караульной служб Вооруженных Сил, других войск и воинских формирований Республики Казахстан, утвержденном вышеназванным Указом:</w:t>
      </w:r>
    </w:p>
    <w:bookmarkEnd w:id="15"/>
    <w:bookmarkStart w:name="z27" w:id="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"2. Границы гарнизона определяются приказом начальника Генерального штаба Вооруженных Сил Республики Казахстан. В состав более крупного гарнизона включаются все воинские части, расположенные в ближайших к нему населенных пунктах. В эти границы могут быть включены и другие близлежащие населенные пункты.";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каждом гарнизоне приказом начальника Генерального штаба Вооруженных Сил Республики Казахстан, как правило, из числа командиров воинских частей Министерства обороны назначается начальник гарнизона, при необходимости могут назначаться: начальник штаба гарнизона, заместитель начальника гарнизона по воспитательной и социально-правовой работе, заместитель начальника гарнизона по тылу, другие лица администрации гарнизона и определяться их обязанности (</w:t>
      </w:r>
      <w:r>
        <w:rPr>
          <w:rFonts w:ascii="Times New Roman"/>
          <w:b w:val="false"/>
          <w:i w:val="false"/>
          <w:color w:val="000000"/>
          <w:sz w:val="28"/>
        </w:rPr>
        <w:t>приложение 1</w:t>
      </w:r>
      <w:r>
        <w:rPr>
          <w:rFonts w:ascii="Times New Roman"/>
          <w:b w:val="false"/>
          <w:i w:val="false"/>
          <w:color w:val="000000"/>
          <w:sz w:val="28"/>
        </w:rPr>
        <w:t>).</w:t>
      </w:r>
    </w:p>
    <w:p>
      <w:pPr>
        <w:spacing w:after="0"/>
        <w:ind w:left="0"/>
        <w:jc w:val="both"/>
      </w:pPr>
      <w:r>
        <w:rPr>
          <w:rFonts w:ascii="Times New Roman"/>
          <w:b w:val="false"/>
          <w:i w:val="false"/>
          <w:color w:val="000000"/>
          <w:sz w:val="28"/>
        </w:rPr>
        <w:t>
      В гарнизонах, где командиры воинских частей других войск и воинских формирований выше по занимаемой должности командиров воинских частей Министерства обороны Республики Казахстан, начальники гарнизонов назначаются приказом начальника Генерального штаба Вооруженных Сил Республики Казахстан по согласованию с соответствующими руководителями других войск и воинских формирований.</w:t>
      </w:r>
    </w:p>
    <w:p>
      <w:pPr>
        <w:spacing w:after="0"/>
        <w:ind w:left="0"/>
        <w:jc w:val="both"/>
      </w:pPr>
      <w:r>
        <w:rPr>
          <w:rFonts w:ascii="Times New Roman"/>
          <w:b w:val="false"/>
          <w:i w:val="false"/>
          <w:color w:val="000000"/>
          <w:sz w:val="28"/>
        </w:rPr>
        <w:t>
      8. О вступлении в должность начальник гарнизона объявляет в приказе, докладывает начальнику Генерального штаба Вооруженных Сил Республики Казахстан, командующему войсками регионального командования и своему непосредственному начальнику, а также сообщает об этом письменно местным органам государственного управления.";</w:t>
      </w:r>
    </w:p>
    <w:bookmarkStart w:name="z29"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7"/>
    <w:bookmarkStart w:name="z30" w:id="18"/>
    <w:p>
      <w:pPr>
        <w:spacing w:after="0"/>
        <w:ind w:left="0"/>
        <w:jc w:val="both"/>
      </w:pPr>
      <w:r>
        <w:rPr>
          <w:rFonts w:ascii="Times New Roman"/>
          <w:b w:val="false"/>
          <w:i w:val="false"/>
          <w:color w:val="000000"/>
          <w:sz w:val="28"/>
        </w:rPr>
        <w:t>
      часть третью изложить в следующей редакции:</w:t>
      </w:r>
    </w:p>
    <w:bookmarkEnd w:id="18"/>
    <w:p>
      <w:pPr>
        <w:spacing w:after="0"/>
        <w:ind w:left="0"/>
        <w:jc w:val="both"/>
      </w:pPr>
      <w:r>
        <w:rPr>
          <w:rFonts w:ascii="Times New Roman"/>
          <w:b w:val="false"/>
          <w:i w:val="false"/>
          <w:color w:val="000000"/>
          <w:sz w:val="28"/>
        </w:rPr>
        <w:t>
      "Начальник гарнизона по вопросам гарнизонной и караульной служб подчиняется начальнику Генерального штаба Вооруженных Сил Республики Казахстан, командующему войсками регионального командования и является прямым начальником по этим вопросам для военнослужащих гарнизона. Начальники Акмолинского и Алматинского гарнизонов подчиняются начальнику Генерального штаба Вооруженных Сил Республики Казахстан.";</w:t>
      </w:r>
    </w:p>
    <w:bookmarkStart w:name="z31" w:id="19"/>
    <w:p>
      <w:pPr>
        <w:spacing w:after="0"/>
        <w:ind w:left="0"/>
        <w:jc w:val="both"/>
      </w:pPr>
      <w:r>
        <w:rPr>
          <w:rFonts w:ascii="Times New Roman"/>
          <w:b w:val="false"/>
          <w:i w:val="false"/>
          <w:color w:val="000000"/>
          <w:sz w:val="28"/>
        </w:rPr>
        <w:t>
      абзацы шестой и седьмой части четвертой изложить в следующей редакции:</w:t>
      </w:r>
    </w:p>
    <w:bookmarkEnd w:id="19"/>
    <w:p>
      <w:pPr>
        <w:spacing w:after="0"/>
        <w:ind w:left="0"/>
        <w:jc w:val="both"/>
      </w:pPr>
      <w:r>
        <w:rPr>
          <w:rFonts w:ascii="Times New Roman"/>
          <w:b w:val="false"/>
          <w:i w:val="false"/>
          <w:color w:val="000000"/>
          <w:sz w:val="28"/>
        </w:rPr>
        <w:t>
      "представлять на утверждение начальнику Генерального штаба Вооруженных Сил Республики Казахстан расписание гарнизонных караулов (</w:t>
      </w:r>
      <w:r>
        <w:rPr>
          <w:rFonts w:ascii="Times New Roman"/>
          <w:b w:val="false"/>
          <w:i w:val="false"/>
          <w:color w:val="000000"/>
          <w:sz w:val="28"/>
        </w:rPr>
        <w:t>приложение 2</w:t>
      </w:r>
      <w:r>
        <w:rPr>
          <w:rFonts w:ascii="Times New Roman"/>
          <w:b w:val="false"/>
          <w:i w:val="false"/>
          <w:color w:val="000000"/>
          <w:sz w:val="28"/>
        </w:rPr>
        <w:t>), а также планы взаимодействия с частями (подразделениями) территориальной обороны, других войск и воинских формирований гарнизона при объявлении чрезвычайного положения, противопожарной зашиты гарнизона, вносить предложения о границах гарнизона;</w:t>
      </w:r>
    </w:p>
    <w:p>
      <w:pPr>
        <w:spacing w:after="0"/>
        <w:ind w:left="0"/>
        <w:jc w:val="both"/>
      </w:pPr>
      <w:r>
        <w:rPr>
          <w:rFonts w:ascii="Times New Roman"/>
          <w:b w:val="false"/>
          <w:i w:val="false"/>
          <w:color w:val="000000"/>
          <w:sz w:val="28"/>
        </w:rPr>
        <w:t>
      разрабатывать по указанию начальника Генерального штаба Вооруженных Сил Республики Казахстан план мероприятий гарнизона при объявлении мобилизации и приведении войск в высшие степени боевой готовности, обеспечивать его выполнение;";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Начальник гарнизона встречает, докладывает и сопровождает прибывших в расположение гарнизона: Президента Республики Казахстан, Министра обороны и его заместителей, первых руководителей других войск и воинских формирований, командующего войсками регионального командования, на территории которого расположен гарнизон.</w:t>
      </w:r>
    </w:p>
    <w:p>
      <w:pPr>
        <w:spacing w:after="0"/>
        <w:ind w:left="0"/>
        <w:jc w:val="both"/>
      </w:pPr>
      <w:r>
        <w:rPr>
          <w:rFonts w:ascii="Times New Roman"/>
          <w:b w:val="false"/>
          <w:i w:val="false"/>
          <w:color w:val="000000"/>
          <w:sz w:val="28"/>
        </w:rPr>
        <w:t>
      Начальники Акмолинского и Алматинского гарнизонов указанных лиц встречают по особому указанию начальника Генерального штаба Вооруженных Сил Республики Казахстан.</w:t>
      </w:r>
    </w:p>
    <w:p>
      <w:pPr>
        <w:spacing w:after="0"/>
        <w:ind w:left="0"/>
        <w:jc w:val="both"/>
      </w:pPr>
      <w:r>
        <w:rPr>
          <w:rFonts w:ascii="Times New Roman"/>
          <w:b w:val="false"/>
          <w:i w:val="false"/>
          <w:color w:val="000000"/>
          <w:sz w:val="28"/>
        </w:rPr>
        <w:t>
      В случае прибытия в гарнизон заместителей начальника Генерального штаба Вооруженных Сил, начальников департаментов (главных управлений) центральных органов военного управления, главнокомандующих видами, командующих родами войск начальник гарнизона встречает их и представляется.</w:t>
      </w:r>
    </w:p>
    <w:p>
      <w:pPr>
        <w:spacing w:after="0"/>
        <w:ind w:left="0"/>
        <w:jc w:val="both"/>
      </w:pPr>
      <w:r>
        <w:rPr>
          <w:rFonts w:ascii="Times New Roman"/>
          <w:b w:val="false"/>
          <w:i w:val="false"/>
          <w:color w:val="000000"/>
          <w:sz w:val="28"/>
        </w:rPr>
        <w:t>
      Командующий войсками регионального командования встречает и докладывает прибывшим на территорию в зоне его ответственности: Президенту Республики Казахстан, Министру обороны Республики Казахстан, начальнику Генерального штаба Вооруженных Сил Республики Казахстан.</w:t>
      </w:r>
    </w:p>
    <w:p>
      <w:pPr>
        <w:spacing w:after="0"/>
        <w:ind w:left="0"/>
        <w:jc w:val="both"/>
      </w:pPr>
      <w:r>
        <w:rPr>
          <w:rFonts w:ascii="Times New Roman"/>
          <w:b w:val="false"/>
          <w:i w:val="false"/>
          <w:color w:val="000000"/>
          <w:sz w:val="28"/>
        </w:rPr>
        <w:t>
      13. При временном убытии из гарнизона (в отпуск, длительную командировку) начальник гарнизона передает исполнение своих обязанностей одному из заместителей начальника гарнизона, объявляет об этом в приказе по гарнизону и докладывает начальнику Генерального штаба Вооруженных Сил, командующему войсками регионального командования и своему непосредственному начальнику.</w:t>
      </w:r>
    </w:p>
    <w:p>
      <w:pPr>
        <w:spacing w:after="0"/>
        <w:ind w:left="0"/>
        <w:jc w:val="both"/>
      </w:pPr>
      <w:r>
        <w:rPr>
          <w:rFonts w:ascii="Times New Roman"/>
          <w:b w:val="false"/>
          <w:i w:val="false"/>
          <w:color w:val="000000"/>
          <w:sz w:val="28"/>
        </w:rPr>
        <w:t>
      В Акмолинском и Алматинском гарнизонах временное исполнение обязанностей начальника гарнизона в указанных случаях возлагается на лицо, назначенное начальником Генерального штаба Вооруженных Сил Республики Казахстан.";</w:t>
      </w:r>
    </w:p>
    <w:bookmarkStart w:name="z33"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"45. По особому указанию Министра обороны Республики Казахстан, первых руководителей других войск и воинских формирований и начальника Генерального штаба Вооруженных Сил для встречи и проводов представителей иностранных государств почетный караул с боевым знаменем (Военно-морским Флагом) выстраивается в развернутом двухшереножном строю. Знаменщик и ассистенты становятся в двух шагах от правого фланга караула, оркестр - правее боевого знамени в трех шагах.";</w:t>
      </w:r>
    </w:p>
    <w:bookmarkStart w:name="z34" w:id="21"/>
    <w:p>
      <w:pPr>
        <w:spacing w:after="0"/>
        <w:ind w:left="0"/>
        <w:jc w:val="both"/>
      </w:pPr>
      <w:r>
        <w:rPr>
          <w:rFonts w:ascii="Times New Roman"/>
          <w:b w:val="false"/>
          <w:i w:val="false"/>
          <w:color w:val="000000"/>
          <w:sz w:val="28"/>
        </w:rPr>
        <w:t xml:space="preserve">
      абзац четвертый части второй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"при погребении лиц, удостоенных звания Героя Советского Союза (Героя Социалистического Труда), "Халық каһарманы", полных кавалеров орденов Славы, награжденных орденом "Отан", граждан, имевших особые заслуги перед государством, генералов (адмиралов), командиров воинских частей и соединений - до роты и более, по особому указанию начальника Генерального штаба Вооруженных Сил (командующего войсками регионального командования, на территории которого проводится погребение).";</w:t>
      </w:r>
    </w:p>
    <w:bookmarkStart w:name="z35" w:id="22"/>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"На основании решений Президента Республики Казахстан приказами Министра обороны, начальника Генерального штаба Вооруженных Сил и соответствующих руководителей других войск и воинских формирований воинские части могут быть привлечены для ликвидации последствий чрезвычайных ситуаций, спасения жизни людей и оказания помощи пострадавшему населению.</w:t>
      </w:r>
    </w:p>
    <w:p>
      <w:pPr>
        <w:spacing w:after="0"/>
        <w:ind w:left="0"/>
        <w:jc w:val="both"/>
      </w:pPr>
      <w:r>
        <w:rPr>
          <w:rFonts w:ascii="Times New Roman"/>
          <w:b w:val="false"/>
          <w:i w:val="false"/>
          <w:color w:val="000000"/>
          <w:sz w:val="28"/>
        </w:rPr>
        <w:t>
      В исключительных случаях воинские части могут участвовать в ликвидации чрезвычайных ситуаций решением начальника гарнизона, который немедленно докладывает об этом начальнику Генерального штаба Вооруженных Сил, командующему войсками регионального командования, на территории которого расположен гарнизон, а также своим прямым начальникам.";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"123. Порядок допуска на техническую территорию складов (баз, арсеналов), огнеопасные и особо важные объекты устанавливается начальником Генерального штаба Вооруженных Сил и соответствующими руководителями других войск и воинских формирований согласно специальным положениям (инструкциям).";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"125. Порядок несения караульной службы по охране и обороне военных и других объектов в особых условиях дополнительно определяется начальником Генерального штаба Вооруженных Сил и соответствующими руководителями других войск и воинских формирований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"135. Расписания гарнизонных, а также внутренних караулов военных учебных заведений представляются на утверждение начальнику Генерального штаба Вооруженных Сил и соответствующим руководителям других войск и воинских формирований Республики Казахстан, а расписания внутренних караулов воинских частей - вышестоящему командиру (начальнику).</w:t>
      </w:r>
    </w:p>
    <w:p>
      <w:pPr>
        <w:spacing w:after="0"/>
        <w:ind w:left="0"/>
        <w:jc w:val="both"/>
      </w:pPr>
      <w:r>
        <w:rPr>
          <w:rFonts w:ascii="Times New Roman"/>
          <w:b w:val="false"/>
          <w:i w:val="false"/>
          <w:color w:val="000000"/>
          <w:sz w:val="28"/>
        </w:rPr>
        <w:t>
      К расписанию прилагается схема расположения постов каждого караула.";</w:t>
      </w:r>
    </w:p>
    <w:bookmarkStart w:name="z39" w:id="23"/>
    <w:p>
      <w:pPr>
        <w:spacing w:after="0"/>
        <w:ind w:left="0"/>
        <w:jc w:val="both"/>
      </w:pPr>
      <w:r>
        <w:rPr>
          <w:rFonts w:ascii="Times New Roman"/>
          <w:b w:val="false"/>
          <w:i w:val="false"/>
          <w:color w:val="000000"/>
          <w:sz w:val="28"/>
        </w:rPr>
        <w:t xml:space="preserve">
      абзацы второй и третий части первой </w:t>
      </w:r>
      <w:r>
        <w:rPr>
          <w:rFonts w:ascii="Times New Roman"/>
          <w:b w:val="false"/>
          <w:i w:val="false"/>
          <w:color w:val="000000"/>
          <w:sz w:val="28"/>
        </w:rPr>
        <w:t>пункта 187</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"Министра обороны, начальника Генерального штаба Вооруженных Сил, соответствующих руководителей других войск и воинских формирований и их заместителей;</w:t>
      </w:r>
    </w:p>
    <w:p>
      <w:pPr>
        <w:spacing w:after="0"/>
        <w:ind w:left="0"/>
        <w:jc w:val="both"/>
      </w:pPr>
      <w:r>
        <w:rPr>
          <w:rFonts w:ascii="Times New Roman"/>
          <w:b w:val="false"/>
          <w:i w:val="false"/>
          <w:color w:val="000000"/>
          <w:sz w:val="28"/>
        </w:rPr>
        <w:t>
      главнокомандующих видами, командующих родами войск и войсками региональных командований, начальников департаментов, главных управлений, управлений, отделов и служб Министерства обороны и Генерального штаба Вооруженных Сил, соответствующих руководителей других войск и воинских формирований - караулы, охраняющие объекты, находящиеся в их подчинении;";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"254. Перечень воинских грузов, которые при перевозке подлежат охране караулами, а также состав караула определяются приказами начальника Генерального штаба Вооруженных Сил и соответствующими руководителями других войск и воинских формирований.";</w:t>
      </w:r>
    </w:p>
    <w:bookmarkStart w:name="z41"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268</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"268. Замена караула производится по приказу начальника Генерального штаба Вооруженных Сил и соответствующих руководителей других войск и воинских формирований, имеющих на это право.";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уставу гарнизонной и караульной служб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43"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Дисциплинарном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Заместители начальника Генерального штаба Вооруженных Сил, директора Пограничной службы Комитета национальной безопасности, Командующего внутренними войсками Министерства внутренних дел, Главного военного прокурора в отношении подчиненных им военнослужащих пользуются дисциплинарными правами командующего родом войск.".</w:t>
      </w:r>
    </w:p>
    <w:bookmarkStart w:name="z8"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сентября 2011 года № 147с "О некоторых вопросах Службы охраны Президента Республики Казахстан" (САПП Республики Казахстан, 2011 г., № 53, ст. 742):</w:t>
      </w:r>
    </w:p>
    <w:bookmarkEnd w:id="26"/>
    <w:p>
      <w:pPr>
        <w:spacing w:after="0"/>
        <w:ind w:left="0"/>
        <w:jc w:val="both"/>
      </w:pPr>
      <w:r>
        <w:rPr>
          <w:rFonts w:ascii="Times New Roman"/>
          <w:b w:val="false"/>
          <w:i w:val="false"/>
          <w:color w:val="000000"/>
          <w:sz w:val="28"/>
        </w:rPr>
        <w:t>
      преамбулу изложить в следующей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от 3 октября 1995 года "О Службе охраны Президента Республики Казахстан" </w:t>
      </w:r>
      <w:r>
        <w:rPr>
          <w:rFonts w:ascii="Times New Roman"/>
          <w:b/>
          <w:i w:val="false"/>
          <w:color w:val="000000"/>
          <w:sz w:val="28"/>
        </w:rPr>
        <w:t>ПОСТАНОВЛЯЮ</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2013 года № 541</w:t>
            </w:r>
            <w:r>
              <w:br/>
            </w:r>
            <w:r>
              <w:rPr>
                <w:rFonts w:ascii="Times New Roman"/>
                <w:b w:val="false"/>
                <w:i w:val="false"/>
                <w:color w:val="000000"/>
                <w:sz w:val="20"/>
              </w:rPr>
              <w:t>ПРИЛОЖЕНИЕ 2</w:t>
            </w:r>
            <w:r>
              <w:br/>
            </w:r>
            <w:r>
              <w:rPr>
                <w:rFonts w:ascii="Times New Roman"/>
                <w:b w:val="false"/>
                <w:i w:val="false"/>
                <w:color w:val="000000"/>
                <w:sz w:val="20"/>
              </w:rPr>
              <w:t>к уставу гарнизонной</w:t>
            </w:r>
            <w:r>
              <w:br/>
            </w:r>
            <w:r>
              <w:rPr>
                <w:rFonts w:ascii="Times New Roman"/>
                <w:b w:val="false"/>
                <w:i w:val="false"/>
                <w:color w:val="000000"/>
                <w:sz w:val="20"/>
              </w:rPr>
              <w:t>и караульной служб</w:t>
            </w:r>
            <w:r>
              <w:br/>
            </w:r>
            <w:r>
              <w:rPr>
                <w:rFonts w:ascii="Times New Roman"/>
                <w:b w:val="false"/>
                <w:i w:val="false"/>
                <w:color w:val="000000"/>
                <w:sz w:val="20"/>
              </w:rPr>
              <w:t>УТВЕРЖДАЮ</w:t>
            </w:r>
            <w:r>
              <w:br/>
            </w:r>
            <w:r>
              <w:rPr>
                <w:rFonts w:ascii="Times New Roman"/>
                <w:b w:val="false"/>
                <w:i w:val="false"/>
                <w:color w:val="000000"/>
                <w:sz w:val="20"/>
              </w:rPr>
              <w:t>начальник Генерального штаба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воинское звание, подпись, фамилия)</w:t>
      </w:r>
    </w:p>
    <w:p>
      <w:pPr>
        <w:spacing w:after="0"/>
        <w:ind w:left="0"/>
        <w:jc w:val="both"/>
      </w:pPr>
      <w:r>
        <w:rPr>
          <w:rFonts w:ascii="Times New Roman"/>
          <w:b w:val="false"/>
          <w:i w:val="false"/>
          <w:color w:val="000000"/>
          <w:sz w:val="28"/>
        </w:rPr>
        <w:t>
      "__" __________ 201__ г.</w:t>
      </w:r>
    </w:p>
    <w:p>
      <w:pPr>
        <w:spacing w:after="0"/>
        <w:ind w:left="0"/>
        <w:jc w:val="left"/>
      </w:pPr>
      <w:r>
        <w:rPr>
          <w:rFonts w:ascii="Times New Roman"/>
          <w:b/>
          <w:i w:val="false"/>
          <w:color w:val="000000"/>
        </w:rPr>
        <w:t xml:space="preserve"> Расписание караулов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гарнизона)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постов, состав караула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карау-</w:t>
            </w:r>
          </w:p>
          <w:p>
            <w:pPr>
              <w:spacing w:after="20"/>
              <w:ind w:left="20"/>
              <w:jc w:val="both"/>
            </w:pPr>
            <w:r>
              <w:rPr>
                <w:rFonts w:ascii="Times New Roman"/>
                <w:b w:val="false"/>
                <w:i w:val="false"/>
                <w:color w:val="000000"/>
                <w:sz w:val="20"/>
              </w:rPr>
              <w:t>
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 охраняе-</w:t>
            </w:r>
          </w:p>
          <w:p>
            <w:pPr>
              <w:spacing w:after="20"/>
              <w:ind w:left="20"/>
              <w:jc w:val="both"/>
            </w:pPr>
            <w:r>
              <w:rPr>
                <w:rFonts w:ascii="Times New Roman"/>
                <w:b w:val="false"/>
                <w:i w:val="false"/>
                <w:color w:val="000000"/>
                <w:sz w:val="20"/>
              </w:rPr>
              <w:t>
мых объе-</w:t>
            </w:r>
          </w:p>
          <w:p>
            <w:pPr>
              <w:spacing w:after="20"/>
              <w:ind w:left="20"/>
              <w:jc w:val="both"/>
            </w:pPr>
            <w:r>
              <w:rPr>
                <w:rFonts w:ascii="Times New Roman"/>
                <w:b w:val="false"/>
                <w:i w:val="false"/>
                <w:color w:val="000000"/>
                <w:sz w:val="20"/>
              </w:rPr>
              <w:t>
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сменами часовых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двумя сменами часовых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Постов карауль-</w:t>
            </w:r>
          </w:p>
          <w:p>
            <w:pPr>
              <w:spacing w:after="20"/>
              <w:ind w:left="20"/>
              <w:jc w:val="both"/>
            </w:pPr>
            <w:r>
              <w:rPr>
                <w:rFonts w:ascii="Times New Roman"/>
                <w:b w:val="false"/>
                <w:i w:val="false"/>
                <w:color w:val="000000"/>
                <w:sz w:val="20"/>
              </w:rPr>
              <w:t>
ных собак (блок-</w:t>
            </w:r>
          </w:p>
          <w:p>
            <w:pPr>
              <w:spacing w:after="20"/>
              <w:ind w:left="20"/>
              <w:jc w:val="both"/>
            </w:pPr>
            <w:r>
              <w:rPr>
                <w:rFonts w:ascii="Times New Roman"/>
                <w:b w:val="false"/>
                <w:i w:val="false"/>
                <w:color w:val="000000"/>
                <w:sz w:val="20"/>
              </w:rPr>
              <w:t>
постов)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w:t>
            </w:r>
          </w:p>
          <w:p>
            <w:pPr>
              <w:spacing w:after="20"/>
              <w:ind w:left="20"/>
              <w:jc w:val="both"/>
            </w:pPr>
            <w:r>
              <w:rPr>
                <w:rFonts w:ascii="Times New Roman"/>
                <w:b w:val="false"/>
                <w:i w:val="false"/>
                <w:color w:val="000000"/>
                <w:sz w:val="20"/>
              </w:rPr>
              <w:t>
ник караула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w:t>
            </w:r>
          </w:p>
          <w:p>
            <w:pPr>
              <w:spacing w:after="20"/>
              <w:ind w:left="20"/>
              <w:jc w:val="both"/>
            </w:pPr>
            <w:r>
              <w:rPr>
                <w:rFonts w:ascii="Times New Roman"/>
                <w:b w:val="false"/>
                <w:i w:val="false"/>
                <w:color w:val="000000"/>
                <w:sz w:val="20"/>
              </w:rPr>
              <w:t>
ник началь-</w:t>
            </w:r>
          </w:p>
          <w:p>
            <w:pPr>
              <w:spacing w:after="20"/>
              <w:ind w:left="20"/>
              <w:jc w:val="both"/>
            </w:pPr>
            <w:r>
              <w:rPr>
                <w:rFonts w:ascii="Times New Roman"/>
                <w:b w:val="false"/>
                <w:i w:val="false"/>
                <w:color w:val="000000"/>
                <w:sz w:val="20"/>
              </w:rPr>
              <w:t>
ника караула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я</w:t>
            </w:r>
          </w:p>
          <w:p>
            <w:pPr>
              <w:spacing w:after="20"/>
              <w:ind w:left="20"/>
              <w:jc w:val="both"/>
            </w:pPr>
            <w:r>
              <w:rPr>
                <w:rFonts w:ascii="Times New Roman"/>
                <w:b w:val="false"/>
                <w:i w:val="false"/>
                <w:color w:val="000000"/>
                <w:sz w:val="20"/>
              </w:rPr>
              <w:t>
щ</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НК по ТСО (оператор ТСО)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НК по СКС (вожатый КС)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личного состава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i w:val="false"/>
          <w:color w:val="000000"/>
        </w:rPr>
        <w:t xml:space="preserve"> Начальник гарнизона _______________________________________</w:t>
      </w:r>
    </w:p>
    <w:p>
      <w:pPr>
        <w:spacing w:after="0"/>
        <w:ind w:left="0"/>
        <w:jc w:val="both"/>
      </w:pPr>
      <w:r>
        <w:rPr>
          <w:rFonts w:ascii="Times New Roman"/>
          <w:b w:val="false"/>
          <w:i w:val="false"/>
          <w:color w:val="000000"/>
          <w:sz w:val="28"/>
        </w:rPr>
        <w:t>
      (воинское звание, подпись, фамилия)</w:t>
      </w:r>
    </w:p>
    <w:p>
      <w:pPr>
        <w:spacing w:after="0"/>
        <w:ind w:left="0"/>
        <w:jc w:val="both"/>
      </w:pPr>
      <w:r>
        <w:rPr>
          <w:rFonts w:ascii="Times New Roman"/>
          <w:b w:val="false"/>
          <w:i w:val="false"/>
          <w:color w:val="000000"/>
          <w:sz w:val="28"/>
        </w:rPr>
        <w:t>
      Примечание: расписание внутренних караулов утверждает старший начальник, подписывает командир воинской части.</w:t>
      </w:r>
    </w:p>
    <w:p>
      <w:pPr>
        <w:spacing w:after="0"/>
        <w:ind w:left="0"/>
        <w:jc w:val="both"/>
      </w:pPr>
      <w:r>
        <w:rPr>
          <w:rFonts w:ascii="Times New Roman"/>
          <w:b w:val="false"/>
          <w:i w:val="false"/>
          <w:color w:val="000000"/>
          <w:sz w:val="28"/>
        </w:rPr>
        <w:t>
      В графе 7 указывается категория военнослужащего, который назначается начальником караула, например: 1 офицер, 1 сержант.</w:t>
      </w:r>
    </w:p>
    <w:p>
      <w:pPr>
        <w:spacing w:after="0"/>
        <w:ind w:left="0"/>
        <w:jc w:val="both"/>
      </w:pPr>
      <w:r>
        <w:rPr>
          <w:rFonts w:ascii="Times New Roman"/>
          <w:b w:val="false"/>
          <w:i w:val="false"/>
          <w:color w:val="000000"/>
          <w:sz w:val="28"/>
        </w:rPr>
        <w:t>
      В случае назначения водителя транспортного средства, экипажей боевых машин, выводных включаются дополнительные графы.</w:t>
      </w:r>
    </w:p>
    <w:p>
      <w:pPr>
        <w:spacing w:after="0"/>
        <w:ind w:left="0"/>
        <w:jc w:val="both"/>
      </w:pPr>
      <w:r>
        <w:rPr>
          <w:rFonts w:ascii="Times New Roman"/>
          <w:b w:val="false"/>
          <w:i w:val="false"/>
          <w:color w:val="000000"/>
          <w:sz w:val="28"/>
        </w:rPr>
        <w:t>
      Расписание караулов утверждается ежегодно к 1 декабря, а также при внесении изменения в составе караула.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