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59dd" w14:textId="bc95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займе (реконструкция участка дороги "Шымкент — Ташкент") между Республикой Казахстан и Европейским Банком Реконструкции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декабря 2012 года № 447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«О международных договорах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займе (реконструкция участка дороги «Шымкент - Ташкент») между Республикой Казахстан и Европейским Банком Реконструкции и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финансов Республики Казахстан Жамишева Болата Бидахметовича подписать от имени Республики Казахстан Соглашение о займе (реконструкция участка дороги «Шымкент — Ташкент») между Республикой Казахстан и Европейским Банком Реконструкции и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Н. Назарбаев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2012 года № 447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(Операция № 43271)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О ЗАЙМЕ Реконструкция участка дороги «Шымкент - Ташкент»</w:t>
      </w:r>
      <w:r>
        <w:br/>
      </w:r>
      <w:r>
        <w:rPr>
          <w:rFonts w:ascii="Times New Roman"/>
          <w:b/>
          <w:i w:val="false"/>
          <w:color w:val="000000"/>
        </w:rPr>
        <w:t>
между</w:t>
      </w:r>
      <w:r>
        <w:br/>
      </w:r>
      <w:r>
        <w:rPr>
          <w:rFonts w:ascii="Times New Roman"/>
          <w:b/>
          <w:i w:val="false"/>
          <w:color w:val="000000"/>
        </w:rPr>
        <w:t>
РЕСПУБЛИКОЙ КАЗАХСТАН</w:t>
      </w:r>
      <w:r>
        <w:br/>
      </w:r>
      <w:r>
        <w:rPr>
          <w:rFonts w:ascii="Times New Roman"/>
          <w:b/>
          <w:i w:val="false"/>
          <w:color w:val="000000"/>
        </w:rPr>
        <w:t>
и</w:t>
      </w:r>
      <w:r>
        <w:br/>
      </w:r>
      <w:r>
        <w:rPr>
          <w:rFonts w:ascii="Times New Roman"/>
          <w:b/>
          <w:i w:val="false"/>
          <w:color w:val="000000"/>
        </w:rPr>
        <w:t>
ЕВРОПЕЙСКИМ БАНКОМ</w:t>
      </w:r>
      <w:r>
        <w:br/>
      </w:r>
      <w:r>
        <w:rPr>
          <w:rFonts w:ascii="Times New Roman"/>
          <w:b/>
          <w:i w:val="false"/>
          <w:color w:val="000000"/>
        </w:rPr>
        <w:t>
РЕКОНСТРУКЦИИ И РАЗВИТИЯ</w:t>
      </w:r>
      <w:r>
        <w:br/>
      </w:r>
      <w:r>
        <w:rPr>
          <w:rFonts w:ascii="Times New Roman"/>
          <w:b/>
          <w:i w:val="false"/>
          <w:color w:val="000000"/>
        </w:rPr>
        <w:t>
от ___________________ 2012 года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>от _____________________ между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РЕСПУБЛИКОЙ КАЗАХСТАН </w:t>
      </w:r>
      <w:r>
        <w:rPr>
          <w:rFonts w:ascii="Times New Roman"/>
          <w:b w:val="false"/>
          <w:i w:val="false"/>
          <w:color w:val="000000"/>
          <w:sz w:val="28"/>
        </w:rPr>
        <w:t>(заемщик)</w:t>
      </w:r>
      <w:r>
        <w:rPr>
          <w:rFonts w:ascii="Times New Roman"/>
          <w:b/>
          <w:i w:val="false"/>
          <w:color w:val="000000"/>
          <w:sz w:val="28"/>
        </w:rPr>
        <w:t xml:space="preserve"> и ЕВРОПЕЙСКИМ БАНКОМ РЕКОНСТРУКЦИИ И РАЗВИТИЯ </w:t>
      </w:r>
      <w:r>
        <w:rPr>
          <w:rFonts w:ascii="Times New Roman"/>
          <w:b w:val="false"/>
          <w:i w:val="false"/>
          <w:color w:val="000000"/>
          <w:sz w:val="28"/>
        </w:rPr>
        <w:t>(банк).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ПРЕАМБУЛА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ПОСКОЛЬКУ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 учрежден для предоставления финансирования конкретных проектов, содействующих переходу к открытой экономике, ориентированной на рынок, а также развитию частной и предпринимательской инициативы в странах Центральной и Восточной Европы, приверженных принципам многопартийной демократии, плюрализма и рыночной экономики и приводящих их в жизнь;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ПОСКОЛЬКУ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заемщик намерен реализовать проект, как описано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 который предназначен для оказания заемщику помощи в реконструкции участка дороги протяженностью 62 км между международным пунктом пересечения границы «Жибек жолы» на границе с Республикой Узбекистан и постом на 742 км дороги «Шымкент - Ташкент» (проект);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ПОСКОЛЬКУ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заемщик обратился в банк с просьбой об оказании содействия в финансировании части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ПОСКОЛЬКУ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 согласился предоставить средства технического сотрудничества на безвозмездной основе для оказания содействия заемщику в реализации оценки воздействия на окружающую среду и социальную сферу;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ПОСКОЛЬКУ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заемщик намерен привлечь займ Азиатского Банка Развития для оказания содействия в финансировании участка дороги протяженностью 36,7 км между постом на 742 км и на 705 км дороги «Шымкент - Ташкент»;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ПОСКОЛЬКУ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заемщик согласился оказать финансовое и прочее содействие в реализации проекта в соответствии с положениями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ПОСКОЛЬКУ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 согласился на основании, среди прочего, вышеизложенного предоставить заемщику заем в размере ста сорока двух миллионов долларов США (142 000 000 долларов США) в соответствии с положениями и условиями, изложенными или упомянутыми в настоящем Соглашении;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ПОСКОЛЬКУ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заемщик в дополнение к вышеизложенному обратился в банк с просьбой предоставить дополнительное финансирование для проекта в размере пятидесяти четырех миллионов пятиста тысяч долларов США (54 500 000 долларов США) путем перераспределения сэкономленных средств займа в рамках Соглашения о займе от 30 марта 2009 года между банком и заемщиком относительно проекта дороги коридора «Юг - Запад» (Международный транзитный коридор «Западная Европа - Западный Китай») (действующее Соглашение о займе) в соответствии с условиями и положениями, которые будут установлены в дополнительном Соглашении к действующему Соглашению о займе.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ТАКИМ ОБРАЗОМ</w:t>
      </w:r>
      <w:r>
        <w:rPr>
          <w:rFonts w:ascii="Times New Roman"/>
          <w:b w:val="false"/>
          <w:i w:val="false"/>
          <w:color w:val="000000"/>
          <w:sz w:val="28"/>
        </w:rPr>
        <w:t>, стороны настоящим договорились о следующем: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 - СТАНДАРТНЫЕ ПОЛОЖЕНИЯ И УСЛОВИЯ; ОПРЕДЕЛЕНИЯ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1.01. Включение стандартных положений и условий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статьи стандартных положений и условий банка от 1 октября 2007 года настоящим включаются в настоящее Соглашение и применяются к нему и имеют такую же силу и действие, как если бы они были полностью изложены в настоящем документе (далее такие статьи называются стандартные положения и условия).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1.02. Определения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Термины, определенные в преамбуле и используемые в любой части настоящего Соглашения (включая преамбулу и приложения), если их иное толкование не оговаривается отдельно или не требуется по контексту, имеют соответственно приданные там значения, термины, определенные в стандартных положениях и условиях, имеют соответственно приданные там значения, а нижеприведенные термины имеют следующие значения: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60"/>
        <w:gridCol w:w="520"/>
        <w:gridCol w:w="7740"/>
      </w:tblGrid>
      <w:tr>
        <w:trPr>
          <w:trHeight w:val="30" w:hRule="atLeast"/>
        </w:trPr>
        <w:tc>
          <w:tcPr>
            <w:tcW w:w="5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«Уполномоченный представитель заемщика»</w:t>
            </w:r>
          </w:p>
        </w:tc>
        <w:tc>
          <w:tcPr>
            <w:tcW w:w="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означает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заемщика.</w:t>
            </w:r>
          </w:p>
        </w:tc>
      </w:tr>
      <w:tr>
        <w:trPr>
          <w:trHeight w:val="30" w:hRule="atLeast"/>
        </w:trPr>
        <w:tc>
          <w:tcPr>
            <w:tcW w:w="5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«Предусмотренные требования к реализации проектов»</w:t>
            </w:r>
          </w:p>
        </w:tc>
        <w:tc>
          <w:tcPr>
            <w:tcW w:w="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означает требования к реализации проектов с 1 по 8 и 10 (или, в зависимости от требований контекста, любое из таких требований к реализации проектов) требований к реализации проектов и связанные с экологической и социальной политикой банка, одобренные Советом директоров банка 12 мая 2008 года и действующие с 12 ноября 2008 года.</w:t>
            </w:r>
          </w:p>
        </w:tc>
      </w:tr>
      <w:tr>
        <w:trPr>
          <w:trHeight w:val="30" w:hRule="atLeast"/>
        </w:trPr>
        <w:tc>
          <w:tcPr>
            <w:tcW w:w="5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«План экологических и социальных мероприятий»</w:t>
            </w:r>
          </w:p>
        </w:tc>
        <w:tc>
          <w:tcPr>
            <w:tcW w:w="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означает план экологического и социального управления и усовершенствования от ____________, подготовленный консультантом банка по экологии, казахстанским товариществом с ограниченной ответственностью «CaspiEcology» и одобренный исполнительным агентством, при этом такой план может изменяться время от времени с предварительного письменного согласия банка.</w:t>
            </w:r>
          </w:p>
        </w:tc>
      </w:tr>
      <w:tr>
        <w:trPr>
          <w:trHeight w:val="30" w:hRule="atLeast"/>
        </w:trPr>
        <w:tc>
          <w:tcPr>
            <w:tcW w:w="5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«Законодательство в сфере экологии и защиты общественных интересов»</w:t>
            </w:r>
          </w:p>
        </w:tc>
        <w:tc>
          <w:tcPr>
            <w:tcW w:w="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означает любое применимое национальное право или правило, которые касаются: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(a) загрязнения или охраны окружающей среды, включая смежные законы или правила, касающиеся открытого доступа к информации и участию в принятии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(b) условий труда и занятости;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(с) гигиены труда и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(d) здравоохранения общества, безопасности и защиты;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(е) коренных жителей;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(f) культурного наследия;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(g) переселения или экономически оптимального перемещения людей.</w:t>
            </w:r>
          </w:p>
        </w:tc>
      </w:tr>
      <w:tr>
        <w:trPr>
          <w:trHeight w:val="30" w:hRule="atLeast"/>
        </w:trPr>
        <w:tc>
          <w:tcPr>
            <w:tcW w:w="5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«Экологические и социальные вопросы»</w:t>
            </w:r>
          </w:p>
        </w:tc>
        <w:tc>
          <w:tcPr>
            <w:tcW w:w="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означает любой вопрос, подпадающий под действие любого экологического и социального закона, любого предусмотренного требования к реализации проектов, плана экологических и социальных мероприятий или плана переселения.</w:t>
            </w:r>
          </w:p>
        </w:tc>
      </w:tr>
      <w:tr>
        <w:trPr>
          <w:trHeight w:val="30" w:hRule="atLeast"/>
        </w:trPr>
        <w:tc>
          <w:tcPr>
            <w:tcW w:w="5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«Финансовый год»</w:t>
            </w:r>
          </w:p>
        </w:tc>
        <w:tc>
          <w:tcPr>
            <w:tcW w:w="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означает финансовый год заемщика, начинающийся с 1 января каждого года.</w:t>
            </w:r>
          </w:p>
        </w:tc>
      </w:tr>
      <w:tr>
        <w:trPr>
          <w:trHeight w:val="30" w:hRule="atLeast"/>
        </w:trPr>
        <w:tc>
          <w:tcPr>
            <w:tcW w:w="5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«Исполнительное агентство»</w:t>
            </w:r>
          </w:p>
        </w:tc>
        <w:tc>
          <w:tcPr>
            <w:tcW w:w="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означает Министерство транспорта и коммуникаций и Комитет автомобильных дорог Министерства транспорта и коммуникаций заемщика.</w:t>
            </w:r>
          </w:p>
        </w:tc>
      </w:tr>
      <w:tr>
        <w:trPr>
          <w:trHeight w:val="30" w:hRule="atLeast"/>
        </w:trPr>
        <w:tc>
          <w:tcPr>
            <w:tcW w:w="5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«План переселения»</w:t>
            </w:r>
          </w:p>
        </w:tc>
        <w:tc>
          <w:tcPr>
            <w:tcW w:w="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означает план переселения по проекту от ________________, подготовленный в соответствии с предусмотренным требованием 5 к реализации проектов консультантом банка по экологии, казахстанским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товариществом с ограниченной ответственностью «CaspiEcology» и одобренный исполнительным агентством, при этом такой план может изменяться время от времени с предварительного письменного согласия банка.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1.03. Толкование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Соглашении ссылка на определенную статью, раздел или приложение истолковывается, за исключением отдельных случаев, указанных в настоящем Соглашении, как ссылка на эту определенную статью или раздел или приложение к настоящему Соглашению.</w:t>
      </w:r>
    </w:p>
    <w:bookmarkEnd w:id="13"/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II - ОСНОВНЫЕ УСЛОВИЯ ЗАЙМА</w:t>
      </w:r>
    </w:p>
    <w:bookmarkEnd w:id="14"/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2.01. Сумма и валюта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соглашается предоставить заемщику заем в соответствии с положениями и условиями, изложенными или упоминаемыми в настоящем Соглашении, в размере ста сорока двух миллионов долларов США ($ 142 000 000).</w:t>
      </w:r>
    </w:p>
    <w:bookmarkEnd w:id="16"/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2.02. Прочие финансовые условия займа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(а) Минимальная сумма снятия средств составляет двести тысяч долларов США ($ 200 000).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Минимальная сумма досрочного погашения составляет десять миллионов долларов США ($ 10 000 000).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(с) Минимальная аннулируемая сумма составляет пять миллионов долларов США ($ 5 000 000).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(d) Датами уплаты процентов будут 15 января и 15 июля каждого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(e) (1) Заемщик погашает заем 28 равными (или настолько равными, насколько возможно) полугодовыми платежами 15 января и 15 июля каждого года, при этом первой датой погашения займа будет 15 января 2017 года и последней датой погашения займа будет 15 июля 2030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(2) Несмотря на вышеизложенное, в случае если (i) заемщик не освоит полную сумму займа до наступления первой даты погашения займа, указанной в разделе 2.02. (е) (1), и (ii) банк продлит последнюю дату использования займа, указанную в настоящем разделе 2.02. (f) ниже, до даты, которая наступит после такой первой даты погашения займа, тогда сумма каждого снятия, сделанного в первую дату погашения займа или после нее, будет распределена для погашения равными долями в течение нескольких дат погашения займа, которые наступают после даты такого снятия (при этом банк корректирует такие распределенные суммы таким необходимым образом, чтобы получились целые числа в каждом случае), банк будет время от времени уведомлять заемщика о таких распределениях.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(f) Последней датой использования займа будут 10 января 2018 года или более поздняя дата, которую банк может установить по своему усмотрению и о которой уведомит 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(g) Ставка комиссии за обязательство составляет 0,5 % годовых.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(Һ) Заем основывается на плавающей процентной ставке.</w:t>
      </w:r>
    </w:p>
    <w:bookmarkEnd w:id="18"/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2.03. Снятие средств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Доступная сумма может быть освоена время от времени в соответствии с положениями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покрытия затрат, произведенных (или же, с согласия банка, которые предстоит произвести) в отношении разумной стоимости товаров, работ и услуг, требуемых для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Несмотря на положения раздела 3.05(c) стандартных положений и условий, заемщик предпочитает выплатить разовую комиссию не из средств доступной суммы, а за счет собственных ресурсов. Оплата разовой комиссии заемщиком будет произведена согласно разделу 3.05(d) стандартных положений и условий.</w:t>
      </w:r>
    </w:p>
    <w:bookmarkEnd w:id="20"/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III - ВЫПОЛНЕНИЕ ПРОЕКТА</w:t>
      </w:r>
    </w:p>
    <w:bookmarkEnd w:id="21"/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3.01. Прочие утвердительные проектные обязательства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дополнение к общим обязательствам, изложенным в </w:t>
      </w:r>
      <w:r>
        <w:rPr>
          <w:rFonts w:ascii="Times New Roman"/>
          <w:b w:val="false"/>
          <w:i w:val="false"/>
          <w:color w:val="000000"/>
          <w:sz w:val="28"/>
        </w:rPr>
        <w:t>статье IV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стандартных положений и условий, если банк не согласится на иное: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Заемщик: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(1) примет все меры, необходимые для обеспечения достаточных средств для завершения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(2) примет или обеспечит принятие всех мер, необходимых или надлежащих для достижения целей проекта и выполнения положений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(3) выполнит все свои обязательства, возникающие по всем контрактам, заключенным в связи с проектом.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Заемщик обеспечит, если иное не согласовано с банком: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(1) что исполнительное агентство не позднее 30 марта 2014 года завершит обзор нормативов и типовых технических спецификаций для строительных работ в автодорожной отрасли в соответствии с лучшей промышленной практикой;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(2) что исполнительное агентство не позднее 30 марта 2015 года примет соответствующие нормативы и типовые технические спецификации для строительных работ в автодорожной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(3) что исполнительное агентство не позднее 30 марта 2014 года завершит детальную оценку потенциала исполнительного агентства и разработает детальные предложения в отношении функционирования независимого дорожного агентства (специализированная дорожная организация, создаваемая для управления сетью республиканских автомобильных дорог), подготовит план действий для реализации таких предложений и соответствующий проект поправок в действующее законодательство;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(4) что исполнительное агентство не позднее 31 декабря 2014 года представит на рассмотрение Правительства заемщика план действий относительно создания независимого дорожного агентства, включающий проект поправок в законодательство, позволяющих реализацию предлагаемых реформ;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(5) что исполнительное агентство не позднее 31 декабря 2013 года завершит оценку потенциала функций закупок исполнительного агентства и разработку рекомендаций в соответствии с лучшей практикой в рамках части С проекта, как определено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как согласовано с исполнительным агентством;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(6) что исполнительное агентство не позднее 30 июня 2014 года применит рекомендации, указанные выше в подпункте (5), и завершит совершенствование функций исполнительного агентства в области закупок в соответствии с применимым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(7) что исполнительное агентство не позднее 30 июня 2015 года, в случае создания дорожного агентства, реализует соответствующие функции дорожного агентства в области закупок в соответствии с рекомендациями, указанными выше в </w:t>
      </w:r>
      <w:r>
        <w:rPr>
          <w:rFonts w:ascii="Times New Roman"/>
          <w:b w:val="false"/>
          <w:i w:val="false"/>
          <w:color w:val="000000"/>
          <w:sz w:val="28"/>
        </w:rPr>
        <w:t>подпункте (5)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(8) что исполнительное агентство не позднее 30 марта 2014 года завершит исследование, оценивающее готовность частного сектора и возможности государственного сектора провести тендер на контракты по техническому обслуживанию, основанные на результативности;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(9) что исполнительное агентство не позднее 30 марта 2015 года подготовит тендерную документацию для многолетнего контракта на регламентное техобслуживание и опубликует такой тендер;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(10) что исполнительное агентство не позднее 30 марта 2013 года представит на рассмотрение Правительства заемщика соответствующий проект поправок в законодательство о концессиях, приемлемых для сторон, для обеспечения реализации проектов по типу ГЧП;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(11) что исполнительное агентство не позднее 31 декабря 2014 года в соответствии с применимым законодательством заемщика подготовит все необходимые тендерные документы для пилотного концессионного проекта и опубликует указанный тендер согласно графику, согласованному с банком;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(12) что участок автодороги, который будет реконструирован за счет средств займа, будет классифицирован как категория l b после завершения строительных работ и в течение жизненного цикла проекта до заключительной выплаты займа.</w:t>
      </w:r>
    </w:p>
    <w:bookmarkEnd w:id="23"/>
    <w:bookmarkStart w:name="z6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3.02. Группа реализации проекта</w:t>
      </w:r>
    </w:p>
    <w:bookmarkEnd w:id="24"/>
    <w:bookmarkStart w:name="z6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координации, управления, мониторинга и оценки всех аспектов реализации проекта, включая закуп товаров, работ и услуг по проекту, заемщик через исполнительное агентство, если иное не согласовано с банком, в течение всего периода реализации проекта обеспечит функционирование группы реализации проекта, имеющего адекватные ресурсы и достаточно квалифицированный персонал исполнительного агентства.</w:t>
      </w:r>
    </w:p>
    <w:bookmarkEnd w:id="25"/>
    <w:bookmarkStart w:name="z6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3.03. Закупки</w:t>
      </w:r>
    </w:p>
    <w:bookmarkEnd w:id="26"/>
    <w:bookmarkStart w:name="z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раздела 4.03. стандартных положений и условий следующие положения, если банк не согласится на иное, регулируют закуп товаров, работ и услуг, требуемых для проекта и подлежащих финансированию за счет средств займа: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товары, работы и услуги (за исключением услуг консультантов, которые включены в раздел 3.03(c) закупаются посредством открытых торгов.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для целей раздела 3.03(a) процедуры проведения открытых торгов изложены в главе 3 правил закупок ЕБРР.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(c) консультанты, привлекаемые заемщиком для оказания содействия в реализации проекта, отбираются в соответствии с процедурами, изложенными в главе 5 Правил закупок ЕБРР.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(d) все контракты подлежат процедурам рассмотрения, изложенным в правилах закупок ЕБРР.</w:t>
      </w:r>
    </w:p>
    <w:bookmarkEnd w:id="27"/>
    <w:bookmarkStart w:name="z7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3.04. Условия экологического и социального соответствия</w:t>
      </w:r>
    </w:p>
    <w:bookmarkEnd w:id="28"/>
    <w:bookmarkStart w:name="z7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ущерба общеприменимому характеру разделов 4.02(a), 4.04(a)(iii) и 5.02(c)(iii) стандартных положений и условий заемщик, если банк не согласится на иное,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за исключением случаев, указанных в плане экологических и социальных мероприятий и плане переселения, заемщик выполнит и обеспечит выполнение любым подрядчиком проекта в соответствии с предусмотренными требованиями к реализации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без ущерба общеприменимому характеру вышесказанного заемщик обязан тщательно реализовывать и соблюдать план экологических и социальных мероприятий и план переселения и контролировать реализацию таких планов в соответствии с положениями, которые относятся к обеспечению контроля и содержатся в таких планах.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(c) заемщик и банк могут время от времени соглашаться вносить поправки в план экологических и социальных мероприятий и план переселения в ответ на изменения в сложившейся ситуации проекта или заемщика, непредвиденные события и результаты контроля. Без ущерба общеприменимому характеру вышесказанного,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(1) если есть какое-либо неблагоприятное экологическое или социальное воздействие или вопрос, который не был предвиден или предусмотрен в плане экологических и социальных мероприятий и плане переселения, либо полностью, либо до степени его серьезности,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(2) если какая-либо мера по уменьшению воздействия, изложенная в плане экологических и социальных мероприятий и плане переселения, недостаточна, чтобы устранить или уменьшить любое экологическое или социальное воздействие до уровня, предполагаемого соответствующими предусмотренными требованиями к реализации проекта в течение периода времени, изложенного в плане экологических и социальных мероприятий и плане переселения,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(3) если какое-либо существенное несоблюдение плана экологических и социальных мероприятий и плана переселения или какого-либо экологического и социального закона было установлено инспекцией какого-либо контролирующего органа или органа власти или каким-либо аудитом, проводимым в соответствии с разделом 3.04 (d), Заемщик в кратчайшие разумные сроки и в зависимости от согласия банка разработает и включит в план экологических и социальных мероприятий и план переселения такие дополнительные или пересмотренные в сторону смягчения меры, как может быть необходимым, чтобы достигнуть выполнение предусмотренных требований к реализации проекта и применимого законодательства в сфере экологии и защиты общественных интересов, в каждом случае в мере, удовлетворительной для банка.</w:t>
      </w:r>
    </w:p>
    <w:bookmarkEnd w:id="29"/>
    <w:bookmarkStart w:name="z7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3.05. Консультанты</w:t>
      </w:r>
    </w:p>
    <w:bookmarkEnd w:id="30"/>
    <w:bookmarkStart w:name="z7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(а) Для оказания содействия в реализации проекта заемщик, если с банком не оговорено иное, при необходимости, привлечет или обеспечит привлечение и использование консультантов, чьи квалификация и опыт, а также техническое задание являются удовлетворительными для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Заемщик через исполнительное агентство бесплатно обеспечит любых консультантов, вовлеченных для содействия мероприятиям, имеющих отношение к проекту или работе заемщика, всеми имеющимися в распоряжении условиями и поддержкой, необходимыми для реализации их функций, также как и всеми документами, материалами и другими сведениями, которые могут иметь отношение к их работе.</w:t>
      </w:r>
    </w:p>
    <w:bookmarkEnd w:id="31"/>
    <w:bookmarkStart w:name="z8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3.06. Периодичность и требования</w:t>
      </w:r>
      <w:r>
        <w:br/>
      </w:r>
      <w:r>
        <w:rPr>
          <w:rFonts w:ascii="Times New Roman"/>
          <w:b/>
          <w:i w:val="false"/>
          <w:color w:val="000000"/>
        </w:rPr>
        <w:t>
к представлению отчетности</w:t>
      </w:r>
    </w:p>
    <w:bookmarkEnd w:id="32"/>
    <w:bookmarkStart w:name="z8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(а) Начиная с даты вступления в силу и до полного погашения или аннулирования суммы займа, заемщик через исполнительное агентство представит в банк ежегодные отчеты по экологическим и социальным вопросам, возникающим в отношении заемщика или проекта, в течение 90 дней после окончания отчетного года. Такие отчеты включат в себя информацию о следующих конкретных вопросах: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(1) информация о соблюдении заемщиком предусмотренных требований к реализации проекта, как описано в разделе 3.04(a), и реализации плана экологических и социальных мероприятий и плана переселения;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(2) информация о том, как заемщик контролировал соблюдение предусмотренных требований к реализации проекта и плана экологических и социальных мероприятий любыми подрядчиками, занятыми для проекта, и сводка любого существенного несоблюдения такими подрядчиками предусмотренных требований к реализации проекта и плана экологических и социальных мероприятий и любых мер, принятых, чтобы исправить такое несоблюдение;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(3) информация о выполнении плана вовлечения заинтересованных сторон, требуемого предусмотренными требованиями к реализации проекта 10, включая сводку любых полученных жалоб и как были решены такие жалобы;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(4) информация о соблюдении заемщиком экологических и социальных законов относительно проекта, включая статус любых разрешений, необходимых для проекта, результаты любых инспекций, проведенных какими-либо регулирующими органами, любые нарушения применимых законов, правил или норм и любые связанные с ними мероприятия по ликвидации или любые штрафы, наложенные за любые такие нарушения, и сводка любых значимых уведомлений, отчетов и прочих сообщений по экологическим и социальным вопросам, переданным в отношении проекта в любые регулирующие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информация о менеджменте по охране труда и безопасности и состоянии охраны здоровья и техники безопасности по проекту, включая количество несчастных случаев, несчастных случаев, приведших к временной нетрудоспособности, и инцидентов, любые профилактические или смягчающие меры, которые были предприняты или планируются заемщиком, любая подготовка кадров по охране труда и здоровья и любые другие инициативы по вопросам менеджмента по охране здоровья и безопасности, которые были реализованы или планируются заемщиком;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сводка любых изменений в экологических и социальных законах, которые могут иметь существенное воздействие на проект;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копии любой информации по экологическим и социальным вопросам, периодически представляемые заемщиком акционерам или общественности.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Начиная с даты вступления в силу, заемщик через исполнительное агентство представит периодические отчеты о выполнении проекта, указанные в разделе 4.04(a)(iv) стандартных положений и условий на квартальной основе не позднее 30 дней после окончания отчетного периода, пока проект не будет завершен. Такие отчеты должны включать в себя следующие конкретные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(1) Следующая общая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(А) физический прогресс, достигнутый при реализации проекта на день составления отчета и в течение отчетного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фактические или ожидаемые трудности или задержки в реализации проекта и их воздействие на график реализации, а также фактические меры, принятые или планируемые, для преодоления трудностей и избежания задержек;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(C) ожидаемые изменения в дате завершения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(D) изменение основного состава персонала группы реализации проекта, консультантов или подрядчиков;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(E) вопросы, которые могут повлиять на стоимость проекта;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(F) любое событие или деятельность, имеющие вероятность влияния на экономическую осуществимость какой-либо части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(2) Гистограмма хода реализации проекта на основе графика реализации проекта с указанием прогресса, достигнутого по каждой части проекта, и включением графика фактических и планируемых затрат.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(3) Финансовая отчетность с детализацией затрат, понесенных в рамках каждой части проекта и снятий средств займа, вместе с отчетом, показывающим: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первоначальную сметную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пересмотренную сметную стоимость, при наличии таковой, с причинами изменений;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(C) первоначально предполагаемые расходы и фактические расходы на данную дату;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(D) причины отклонения фактических расходов на данную дату от первоначальной сметы расходов на данную дату;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(E) предполагаемые расходы на остальные кварталы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(4) Краткое описание статуса выполнения каждого из условий, содержащегося в настоящем Соглашении.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(с) Незамедлительно по возникновении любого инцидента или несчастного случая, связанного с проектом, который, вероятно, будет иметь существенное неблагоприятное воздействие на окружающую среду, здоровье или безопасность, заемщик уведомит об этом банк факсимильным сообщением или по телексу, указывая характер такого инцидента или несчастного случая и любые шаги, предпринимаемые заемщиком или исполнительным агентством для его ликвидации. Без ущерба общеприменимому характеру вышесказанного,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(1) инцидент или несчастный случай относится к проекту, если он происходит на каком-либо участке, используемом для проекта, или если он вызван производственными сооружениями, оборудованием, транспортными средствами или судами, используемыми для или касающимися проекта (независимо от того, используются ли они на какой-либо территории проекта и независимо от того, используются ли они уполномоченными или посторонними людьми);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(2) инцидент или несчастный случай считается имеющим существенное отрицательное воздействие на окружающую среду, общественность, гигиену труда или технику безопасности,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любой применимый закон требует уведомить любой государственный орган о таком инциденте или несчастном случае,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такой инцидент или несчастный случай влекут за собой смерть любого человека (независимо от того, нанят ли такой человек заемщиком),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(C) более чем один человек (независимо от того, наняты ли такие люди заемщиком) получили серьезные травмы, требующие госпитализации,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(D) такой инцидент или несчастный случай стали известны или вероятней всего станут известны общественности через средства массовой информации или иным путем.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(d) Заемщик незамедлительно уведомит банк относительно любого существенного протеста рабочих или членов общественности, направленного против или касающегося заемщика или проекта, и который может иметь существенное отрицательное воздействие на заемщика или проект, или который стал известен или вероятней всего станет известен общественности через средства массовой информации или иным путем. В течение десяти дней после любого такого уведомления заемщик представит отчет, удовлетворительный для банка, определяющий результат расследования заемщиком такого протеста, и любые шаги, предпринятые или предлагаемые к предпринятию заемщиком для решения вопросов, поднятых в протесте.</w:t>
      </w:r>
    </w:p>
    <w:bookmarkEnd w:id="33"/>
    <w:bookmarkStart w:name="z11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IV - ПРИОСТАНОВЛЕНИЕ; УСКОРЕНИЕ</w:t>
      </w:r>
    </w:p>
    <w:bookmarkEnd w:id="34"/>
    <w:bookmarkStart w:name="z11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4.01. Приостановление</w:t>
      </w:r>
    </w:p>
    <w:bookmarkEnd w:id="35"/>
    <w:bookmarkStart w:name="z11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Нижеследующее оговаривается для целей раздела 7.01(a)(xvii) стандартных положений и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(а) законодательная и нормативно-правовая база, применимая к автодорожной отрасли на территории заемщика, была изменена, приостановлена, упразднена, отменена или отклонена таким образом, что это имеет существенное и отрицательное воздействие на финансовое состояние заемщика, или его возможности по реализации проекта, или выполнению любых его обязательств в рамках настоящего Соглашения.</w:t>
      </w:r>
    </w:p>
    <w:bookmarkEnd w:id="36"/>
    <w:bookmarkStart w:name="z11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4.02. Сокращение срока погашения</w:t>
      </w:r>
    </w:p>
    <w:bookmarkEnd w:id="37"/>
    <w:bookmarkStart w:name="z11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Нижеследующее оговаривается для целей раздела 7.06(f) стандартных положений и условий: любое из событий, описанных в разделе 4.01, наступило и продолжается на протяжении тридцати дней после предоставления уведомления банком заемщику.</w:t>
      </w:r>
    </w:p>
    <w:bookmarkEnd w:id="38"/>
    <w:bookmarkStart w:name="z12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V - ВСТУПЛЕНИЕ В СИЛУ</w:t>
      </w:r>
    </w:p>
    <w:bookmarkEnd w:id="39"/>
    <w:bookmarkStart w:name="z12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5.01. Условия, предшествующие вступлению в силу</w:t>
      </w:r>
    </w:p>
    <w:bookmarkEnd w:id="40"/>
    <w:bookmarkStart w:name="z12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условия оговариваются для целей раздела 9.02(c) стандартных положений и условий в качестве дополнительных условий для вступления в силу настоящего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Банку были представлены свидетельства, по форме и содержанию удовлетворяющие банк, демонстрирующие принятие плана работы относительно передачи текущих ремонтных работ исполнительным агентством частному сектору на пилотной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Банку были представлены свидетельства, по форме и содержанию удовлетворяющие банк, демонстрирующие принятие нормативов финансирования для ремонта и регламентного техобслуживания автомобильных дорог Республики Казахстан с увеличением средних расходов регламентного техобслуживания по крайней мере на 50 процентов по крайней мере в одной области 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(c) Банк должен был получить план экологических и социальных мероприятий и план переселения, по форме и содержанию удовлетворяющие банк.</w:t>
      </w:r>
    </w:p>
    <w:bookmarkEnd w:id="41"/>
    <w:bookmarkStart w:name="z12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5.02. Юридические заключения</w:t>
      </w:r>
    </w:p>
    <w:bookmarkEnd w:id="42"/>
    <w:bookmarkStart w:name="z12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Для целей раздела 9.03(a) стандартных положений и условий заключение или заключения юрисконсульта предоставляются от имени заемщика Министром юстиции, и следующее оговаривается в качестве дополнительных вопросов, подлежащих включению в заключение или заключения, предоставляемые в банк: Парламент заемщика ратифицировал настоящее Соглашение.</w:t>
      </w:r>
    </w:p>
    <w:bookmarkEnd w:id="43"/>
    <w:bookmarkStart w:name="z12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5.03. Прекращение действия Соглашения</w:t>
      </w:r>
      <w:r>
        <w:br/>
      </w:r>
      <w:r>
        <w:rPr>
          <w:rFonts w:ascii="Times New Roman"/>
          <w:b/>
          <w:i w:val="false"/>
          <w:color w:val="000000"/>
        </w:rPr>
        <w:t>
из-за невступления в силу</w:t>
      </w:r>
    </w:p>
    <w:bookmarkEnd w:id="44"/>
    <w:bookmarkStart w:name="z12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 истечении 120 дней после даты заключения настоящего Соглашения оговаривается для целей раздела 9.04 стандартных положений и условий.</w:t>
      </w:r>
    </w:p>
    <w:bookmarkEnd w:id="45"/>
    <w:bookmarkStart w:name="z13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VI - РАЗНОЕ</w:t>
      </w:r>
    </w:p>
    <w:bookmarkEnd w:id="46"/>
    <w:bookmarkStart w:name="z13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6.01. Уведомления</w:t>
      </w:r>
    </w:p>
    <w:bookmarkEnd w:id="47"/>
    <w:bookmarkStart w:name="z13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адреса предоставляются для целей раздела 10.01 стандартных положений и условий: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заемщика: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Проспект Победы, д.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010000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Вниманию: Министра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Факс:+7 7172 717762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банка: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Европейский Банк Реконструкции и Развития One Exchange Square Лондон ЕС2А 2JN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Великобритания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Вниманию: Отдел управления операциями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Факс:+44-20-7338-6100</w:t>
      </w:r>
    </w:p>
    <w:bookmarkStart w:name="z13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В УДОСТОВЕРЕНИЕ ЧЕГО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стороны настоящего Соглашения, действующие через своих должным образом уполномоченных представителей, обеспечили подписание настоящего Соглашения, составленного в четырех экземплярах на английском языке и доставленного в г. Астану, Республика Казахстан ______________ 2012 года.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Должность: 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ЕВРОПЕЙСКИЙ БАНК РЕКОНСТРУКЦИИ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Должность:</w:t>
      </w:r>
    </w:p>
    <w:bookmarkStart w:name="z13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ПРИЛОЖЕНИЕ 1</w:t>
      </w:r>
      <w:r>
        <w:br/>
      </w:r>
      <w:r>
        <w:rPr>
          <w:rFonts w:ascii="Times New Roman"/>
          <w:b/>
          <w:i w:val="false"/>
          <w:color w:val="000000"/>
        </w:rPr>
        <w:t>
ОПИСАНИЕ ПРОЕКТА</w:t>
      </w:r>
    </w:p>
    <w:bookmarkEnd w:id="50"/>
    <w:bookmarkStart w:name="z13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 проекта заключается в оказании заемщику помощи в реконструкции участка дороги протяженностью 62 км между международным пунктом пересечения границы «Жибек жолы» на границе с Республикой Узбекистан и постом на 742 км дороги «Шымкент-Ташкент». Проект является частью модернизации Международного транзитного коридора «Западная Европа - Западный Китай», связывающего Европу с Китаем.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Проект состоит из следующих частей, подлежащих таким изменениям, о которых банк и заемщик могут договариваться время от времени: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(А) строительные работы по реконструкции участка дороги протяженностью 62 км, финансируемые совместно из средств займа, также как и в рамках дополнительного Соглашения к действующему Соглашению о займе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средства займа будут использованы на финансирование реконструкции части существующего участка дороги протяженностью 62 км, соединяющего узбекистанскую границу на 804.2 км с пунктом на автодороге на 742 км, с техническим обслуживанием существующей дороги категории I-b с двухполосным движением и существующей горизонтальной трассы. Поскольку существующий участок дороги находится на техническом обслуживании, не требуется какого-либо расширения дороги;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реконструкция участка дороги от развязки на приблизительно 799 км до международного пункта пересечения границы «Жибек жолы» на 804.2 км с существующей однополосной дороги стандарта категории III до дороги с двухполосным движением стандарта категории I-b. Это потребует расширения дороги на 15 метров. В подъезде к пункту пересечения границы временные дороги шириной 6 м будут также добавлены с обеих сторон для обеспечения местного доступа;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местные временные дороги будут обеспечены в трех местоположениях, где идет жилищное строительство рядом с дорожными и множественными малыми пересечениями. Эти временные дороги будут осуществлять местное движение к главным пересечениям и избавят от необходимости частых боковых съездов на главное шоссе М 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внедрение работ по безопасности дорожного движения на дорогах, которые включают обустройство дороги, дорожную разметку и дорожные знаки.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Консультант по надзору и управлению проектом для строительных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Средства займа будут использованы на финансирование консультантов, которые будут осуществлять надзор за выполнением работ, ведущихся в рамках части А проекта и окажут услуги по управлению проектом.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(C) Консультационные услуги для реформы управления автодорожной отрасли: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Средства займа будут использованы на финансирование консультантов, оказывающих содействие Министерству транспорта и коммуникаций и Комитету автомобильных дорог, (i) чтобы усилить функции закупок и увеличить потенциал для управления сложными контрактами на закуп, (ii) в анализе опыта стран, где дорожной отраслью управляют независимые дорожные агентства, и поддержке в создании независимого дорожного агентства в будущем, (iii) всестороннем обзоре и обновлении технических стандартов, (iv) оценке готовности частного сектора объявить конкурс на контракты на техническое обслуживание, основанные на результативности.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Ожидается, что проект будет завершен к 31 декабря 2016 года.</w:t>
      </w:r>
    </w:p>
    <w:bookmarkEnd w:id="51"/>
    <w:bookmarkStart w:name="z14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дополнение к указанному выше, заемщик обратился в банк с просьбой предоставить дополнительное финансирование для проекта в размере пятидесяти четырех миллионов пятиста тысяч долларов США (54 500 000 долларов США) путем перераспределения сэкономленных средств займа в рамках действующего Соглашения о займе.</w:t>
      </w:r>
    </w:p>
    <w:bookmarkEnd w:id="52"/>
    <w:bookmarkStart w:name="z14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ПРИЛОЖЕНИЕ 2</w:t>
      </w:r>
      <w:r>
        <w:br/>
      </w:r>
      <w:r>
        <w:rPr>
          <w:rFonts w:ascii="Times New Roman"/>
          <w:b/>
          <w:i w:val="false"/>
          <w:color w:val="000000"/>
        </w:rPr>
        <w:t>
КАТЕГОРИИ И СНЯТИЕ СРЕДСТВ ЗАЙМА</w:t>
      </w:r>
    </w:p>
    <w:bookmarkEnd w:id="53"/>
    <w:bookmarkStart w:name="z14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таблице, добавленной к данному приложению, излагаются категории, сумма займа, выделяемая на каждую категорию, а также доли затрат, подлежащих финансированию в каждой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Несмотря на положения вышеуказанного пункта 1, снятие средств займа не должно производиться в отношении: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затрат, понесенных до даты подписания Соглашения о займе;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затрат в рамках категории 1 до должного назначения консультанта по надзору и управлению проектом, указанного в части (В) проекта.</w:t>
      </w:r>
    </w:p>
    <w:bookmarkEnd w:id="54"/>
    <w:bookmarkStart w:name="z15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Добавление к приложению 2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3"/>
        <w:gridCol w:w="3313"/>
        <w:gridCol w:w="5013"/>
      </w:tblGrid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Выделенная сумма займа в валюте займа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Доля затрат, подлежащих финансированию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(1) Работы в рамках Части А проекта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136 136 000.00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 стоимости контракта без учета каких-либо налогов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(2) Услуги по надзору за строительством, включая услуги по управлению проектом, исключая консультационные услуги, для части С проекта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4 740 000.00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 стоимости контракта без учета каких-либо налогов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(3) Консультационные услуги для части С проекта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1 124 000.00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 стоимости контракта без учета каких-либо налогов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142 000 000.000 долл. США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дополнение к указанному выше, заемщик обратился в банк с просьбой предоставить дополнительное финансирование для проекта в размере пятидесяти четырех миллионов пятиста тысяч долларов США (54 500 000 долларов США) путем перераспределения сэкономленных средств займа в рамках действующего Соглашения о займе. Общий бюджет проекта составляет 196 500 000 долларов США.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