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bbf" w14:textId="be73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2012 года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 г., № 21, ст. 263; 2005 г., № 32, ст. 426; 2009 г., № 24-25, ст. 207; 2010 г., № 49, ст. 439; 2012 г., № 33, ст. 419)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Сведения в военной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индустрии и новых технологий, Министр образования и науки, Председатель Агентства по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индустрии и новых технологий, Министр транспорта и коммуникаций, Министр экономического развития и торговли, Министр образования и науки, Министр сельского хозяйства, Министр по чрезвычайным ситуациям, Начальник Службы охраны Президента, Командующий Республиканской гвардией,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четырнадцатый, пятнадцатый,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индустрии и новых технологий,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«Сырбар», Командующий Республиканской гвардией;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обороны, Министр внутренних дел,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обороны, Министр внутренних дел,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«Сырбар», Командующий Республиканской гвардией»;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Сведения в области экономики, науки и техники»: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Сведения в области экономики, образования, науки и техники»;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Председатель Агентства по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       36) Сведения, раскрывающие содержание тестов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 и кодов правильных ответов к ним,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проведении единого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тестирования, комплексного тестирования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видов тестирования, проводимых за счет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«4. Сведения в области разведывательной, контрразведывательной, оперативно-розыскной и иной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в двухмесячный срок привести в соответствие с настоящим Указом свои ведомственные перечни сведений, подлежащих засекречиванию.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