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2f4e" w14:textId="2d22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2012 года № 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Республики Казахстан Соглашение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 № 301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порядке пребывания граждан Республики Казахстан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и граждан Российской Федерации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дружбе, сотрудничестве и взаимной помощи между Республикой Казахстан и Российской Федерацией от 25 мая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одной Стороны, временно пребывающие на территории 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 пункте 1 настоящей статьи, исчисляется с даты въезда гражданина одной Стороны на территорию другой Стороны, подтвержденной миграционной картой с отметкой органов пограничного контроля, проставленной при въезде на территорию Стороны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одной Стороны на территории другой Стороны свыше 30 дней,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одной Стороны во время пребывания на территории другой Стороны обязаны соблюдать законодательство Стороны пребывания.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временно применяется с даты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истечении 6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 целях обеспечения государственной безопасности, охраны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позднее, чем за 72 часа до такого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Сторона, принявшая решение о приостановлении действия настоящего Соглашения по причинам, указанным в пункте 3 настоящей статьи, в том же порядке сообщает другой Стороне о возобновлении действия настоящего Соглашения.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                    20__ года в двух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экземплярах, каждый на казахском и русском языках, причем оба текста имеют одинаковую силу.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