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01d4" w14:textId="1ed0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10 августа 2011 года № 137</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займе (КАЗСТАТ: Проект по укреплению национальной статистической системы) между Республикой Kaзахстан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августа 2011 года № 137</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 О ЗАЙМЕ (КАЗСТАТ: Проект по укреплению</w:t>
      </w:r>
      <w:r>
        <w:br/>
      </w:r>
      <w:r>
        <w:rPr>
          <w:rFonts w:ascii="Times New Roman"/>
          <w:b/>
          <w:i w:val="false"/>
          <w:color w:val="000000"/>
        </w:rPr>
        <w:t>
национальной статистической системы) между</w:t>
      </w:r>
      <w:r>
        <w:br/>
      </w:r>
      <w:r>
        <w:rPr>
          <w:rFonts w:ascii="Times New Roman"/>
          <w:b/>
          <w:i w:val="false"/>
          <w:color w:val="000000"/>
        </w:rPr>
        <w:t>
РЕСПУБЛИКОЙ КАЗАХСТАН и МЕЖДУНАРОДНЫМ БАНКОМ</w:t>
      </w:r>
      <w:r>
        <w:br/>
      </w:r>
      <w:r>
        <w:rPr>
          <w:rFonts w:ascii="Times New Roman"/>
          <w:b/>
          <w:i w:val="false"/>
          <w:color w:val="000000"/>
        </w:rPr>
        <w:t>
РЕКОНСТРУКЦИИ И РАЗВИТИЯ</w:t>
      </w:r>
    </w:p>
    <w:bookmarkEnd w:id="2"/>
    <w:bookmarkStart w:name="z7" w:id="3"/>
    <w:p>
      <w:pPr>
        <w:spacing w:after="0"/>
        <w:ind w:left="0"/>
        <w:jc w:val="both"/>
      </w:pPr>
      <w:r>
        <w:rPr>
          <w:rFonts w:ascii="Times New Roman"/>
          <w:b w:val="false"/>
          <w:i w:val="false"/>
          <w:color w:val="000000"/>
          <w:sz w:val="28"/>
        </w:rPr>
        <w:t>
      Соглашение от _______, 201 ____, между РЕСПУБЛИКОЙ КАЗАХСТАН (Заемщик) и МЕЖДУНАРОДНЫМ БАНКОМ PЕКОНСТРУКЦИИ И РАЗВИТИЯ (Банк). Настоящим Заемщик и Банк договариваются о следуюшем:</w:t>
      </w:r>
    </w:p>
    <w:bookmarkEnd w:id="3"/>
    <w:bookmarkStart w:name="z8" w:id="4"/>
    <w:p>
      <w:pPr>
        <w:spacing w:after="0"/>
        <w:ind w:left="0"/>
        <w:jc w:val="left"/>
      </w:pPr>
      <w:r>
        <w:rPr>
          <w:rFonts w:ascii="Times New Roman"/>
          <w:b/>
          <w:i w:val="false"/>
          <w:color w:val="000000"/>
        </w:rPr>
        <w:t xml:space="preserve"> 
СТАТЬЯ I - ОБЩИЕ УСЛОВИЯ; ОПРЕДЕЛЕНИЯ</w:t>
      </w:r>
    </w:p>
    <w:bookmarkEnd w:id="4"/>
    <w:bookmarkStart w:name="z9" w:id="5"/>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имеют значения, закрепленные за ними в Общих условиях или в Дополнении к настоящему Соглашению.</w:t>
      </w:r>
    </w:p>
    <w:bookmarkEnd w:id="5"/>
    <w:bookmarkStart w:name="z11" w:id="6"/>
    <w:p>
      <w:pPr>
        <w:spacing w:after="0"/>
        <w:ind w:left="0"/>
        <w:jc w:val="left"/>
      </w:pPr>
      <w:r>
        <w:rPr>
          <w:rFonts w:ascii="Times New Roman"/>
          <w:b/>
          <w:i w:val="false"/>
          <w:color w:val="000000"/>
        </w:rPr>
        <w:t xml:space="preserve"> 
СТАТЬЯ II - ЗАЕМ</w:t>
      </w:r>
    </w:p>
    <w:bookmarkEnd w:id="6"/>
    <w:bookmarkStart w:name="z12" w:id="7"/>
    <w:p>
      <w:pPr>
        <w:spacing w:after="0"/>
        <w:ind w:left="0"/>
        <w:jc w:val="both"/>
      </w:pPr>
      <w:r>
        <w:rPr>
          <w:rFonts w:ascii="Times New Roman"/>
          <w:b w:val="false"/>
          <w:i w:val="false"/>
          <w:color w:val="000000"/>
          <w:sz w:val="28"/>
        </w:rPr>
        <w:t>
      2.01. Банк предоставляет Заемщику сумму в двадцать миллионов долларов США (S 20,000,000) (Заем) на срок и условиях, изложенных или указанных в настоящем Соглашении, для поддержки финансирования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Разделом IV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2.03. Заемшик уплачивает Банку комиссию за резервирование средств Займа, равную четверти одного процента(0,25 %) от суммы Займа.</w:t>
      </w:r>
      <w:r>
        <w:br/>
      </w:r>
      <w:r>
        <w:rPr>
          <w:rFonts w:ascii="Times New Roman"/>
          <w:b w:val="false"/>
          <w:i w:val="false"/>
          <w:color w:val="000000"/>
          <w:sz w:val="28"/>
        </w:rPr>
        <w:t>
</w:t>
      </w:r>
      <w:r>
        <w:rPr>
          <w:rFonts w:ascii="Times New Roman"/>
          <w:b w:val="false"/>
          <w:i w:val="false"/>
          <w:color w:val="000000"/>
          <w:sz w:val="28"/>
        </w:rPr>
        <w:t>
      2.04.Заемщик уплачивает вознаграждение в течение каждого Процентного периода по ставке, равной референтной ставке для Валюты Займа плюс Плавающий спрэд; при условии, что при Конверсии всей или любой части основной суммы Займе вознаграждение, подлежащее выплате Заемщиком во время Периода Конверсии на такую сумму, должно быть определено в соответствии с условиями Статьи IV Общих условий.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(е) Общих положений.</w:t>
      </w:r>
      <w:r>
        <w:br/>
      </w:r>
      <w:r>
        <w:rPr>
          <w:rFonts w:ascii="Times New Roman"/>
          <w:b w:val="false"/>
          <w:i w:val="false"/>
          <w:color w:val="000000"/>
          <w:sz w:val="28"/>
        </w:rPr>
        <w:t>
</w:t>
      </w:r>
      <w:r>
        <w:rPr>
          <w:rFonts w:ascii="Times New Roman"/>
          <w:b w:val="false"/>
          <w:i w:val="false"/>
          <w:color w:val="000000"/>
          <w:sz w:val="28"/>
        </w:rPr>
        <w:t>
      2.05. Даты Платежей: 15 апреля и 15 октября каждого года.</w:t>
      </w:r>
      <w:r>
        <w:br/>
      </w:r>
      <w:r>
        <w:rPr>
          <w:rFonts w:ascii="Times New Roman"/>
          <w:b w:val="false"/>
          <w:i w:val="false"/>
          <w:color w:val="000000"/>
          <w:sz w:val="28"/>
        </w:rPr>
        <w:t>
</w:t>
      </w:r>
      <w:r>
        <w:rPr>
          <w:rFonts w:ascii="Times New Roman"/>
          <w:b w:val="false"/>
          <w:i w:val="false"/>
          <w:color w:val="000000"/>
          <w:sz w:val="28"/>
        </w:rPr>
        <w:t>
      2.06. Заемщик погашает основную сумму Займа в соответствии с графиком погашения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2.07. (а) Заемщик может в любое время запросить любую из следующих Конверсии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ко всей или любой части снятой и непогашенной основной суммы Займа, с Плавающей процентной ставки на Фиксированную процентную ставку, и наоборот, или Плавающей процентной ставки основанной на плавающем спрэде на Плавающую процентную ставку, основанную на фиксированном спрэде, и (iii) определение приделов Плавающей процентной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Верхнего и Нижнего Пределов Процентной ставки Плавающей ставки.</w:t>
      </w:r>
      <w:r>
        <w:br/>
      </w:r>
      <w:r>
        <w:rPr>
          <w:rFonts w:ascii="Times New Roman"/>
          <w:b w:val="false"/>
          <w:i w:val="false"/>
          <w:color w:val="000000"/>
          <w:sz w:val="28"/>
        </w:rPr>
        <w:t>
</w:t>
      </w:r>
      <w:r>
        <w:rPr>
          <w:rFonts w:ascii="Times New Roman"/>
          <w:b w:val="false"/>
          <w:i w:val="false"/>
          <w:color w:val="000000"/>
          <w:sz w:val="28"/>
        </w:rPr>
        <w:t>
      (b) Любое изменение, запрошенное в соответствии с подпунктом (а) настоящего пункта, которое принято Банком, будет считаться "Конверсией", как определено в Общих условиях, и вступит в силу в cooтветствии с положениями Статьи IV Общих условий и Руководства по Конверсии.</w:t>
      </w:r>
    </w:p>
    <w:bookmarkEnd w:id="7"/>
    <w:bookmarkStart w:name="z20" w:id="8"/>
    <w:p>
      <w:pPr>
        <w:spacing w:after="0"/>
        <w:ind w:left="0"/>
        <w:jc w:val="left"/>
      </w:pPr>
      <w:r>
        <w:rPr>
          <w:rFonts w:ascii="Times New Roman"/>
          <w:b/>
          <w:i w:val="false"/>
          <w:color w:val="000000"/>
        </w:rPr>
        <w:t xml:space="preserve"> 
СТАТЬЯ III - ПРОЕКТ</w:t>
      </w:r>
    </w:p>
    <w:bookmarkEnd w:id="8"/>
    <w:bookmarkStart w:name="z21" w:id="9"/>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реализует Проект через Агентство Республики Казахстан по статистике в соответствии с положениями Статьи V Общих условий.</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пункта 3.01 настоящего Соглашения и, если иное не согласовано между Заемщиком и Банком, Заемщик обеспечивает реализацию Проекта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p>
    <w:bookmarkEnd w:id="9"/>
    <w:bookmarkStart w:name="z23" w:id="10"/>
    <w:p>
      <w:pPr>
        <w:spacing w:after="0"/>
        <w:ind w:left="0"/>
        <w:jc w:val="left"/>
      </w:pPr>
      <w:r>
        <w:rPr>
          <w:rFonts w:ascii="Times New Roman"/>
          <w:b/>
          <w:i w:val="false"/>
          <w:color w:val="000000"/>
        </w:rPr>
        <w:t xml:space="preserve"> 
СТАТЬЯ IV - ВСТУПЛЕНИЕ ЗАЙМА В СИЛУ; РАСТОРЖЕНИЕ</w:t>
      </w:r>
    </w:p>
    <w:bookmarkEnd w:id="10"/>
    <w:bookmarkStart w:name="z24" w:id="11"/>
    <w:p>
      <w:pPr>
        <w:spacing w:after="0"/>
        <w:ind w:left="0"/>
        <w:jc w:val="both"/>
      </w:pPr>
      <w:r>
        <w:rPr>
          <w:rFonts w:ascii="Times New Roman"/>
          <w:b w:val="false"/>
          <w:i w:val="false"/>
          <w:color w:val="000000"/>
          <w:sz w:val="28"/>
        </w:rPr>
        <w:t>
      4.01. Дополнительные условия вступления в силу заключаются в следующем:</w:t>
      </w:r>
      <w:r>
        <w:br/>
      </w:r>
      <w:r>
        <w:rPr>
          <w:rFonts w:ascii="Times New Roman"/>
          <w:b w:val="false"/>
          <w:i w:val="false"/>
          <w:color w:val="000000"/>
          <w:sz w:val="28"/>
        </w:rPr>
        <w:t>
</w:t>
      </w:r>
      <w:r>
        <w:rPr>
          <w:rFonts w:ascii="Times New Roman"/>
          <w:b w:val="false"/>
          <w:i w:val="false"/>
          <w:color w:val="000000"/>
          <w:sz w:val="28"/>
        </w:rPr>
        <w:t>
      (а) ГРП создана Заемщиком через АРКС, состав, ресурсы и технические задания которой являются приемлемыми для Банка.</w:t>
      </w:r>
      <w:r>
        <w:br/>
      </w:r>
      <w:r>
        <w:rPr>
          <w:rFonts w:ascii="Times New Roman"/>
          <w:b w:val="false"/>
          <w:i w:val="false"/>
          <w:color w:val="000000"/>
          <w:sz w:val="28"/>
        </w:rPr>
        <w:t>
</w:t>
      </w:r>
      <w:r>
        <w:rPr>
          <w:rFonts w:ascii="Times New Roman"/>
          <w:b w:val="false"/>
          <w:i w:val="false"/>
          <w:color w:val="000000"/>
          <w:sz w:val="28"/>
        </w:rPr>
        <w:t>
      (b) KPГ создана Заемщиком, состав, ресурсы и технические задания которой являются приемлемыми для Банка.</w:t>
      </w:r>
      <w:r>
        <w:br/>
      </w:r>
      <w:r>
        <w:rPr>
          <w:rFonts w:ascii="Times New Roman"/>
          <w:b w:val="false"/>
          <w:i w:val="false"/>
          <w:color w:val="000000"/>
          <w:sz w:val="28"/>
        </w:rPr>
        <w:t>
</w:t>
      </w:r>
      <w:r>
        <w:rPr>
          <w:rFonts w:ascii="Times New Roman"/>
          <w:b w:val="false"/>
          <w:i w:val="false"/>
          <w:color w:val="000000"/>
          <w:sz w:val="28"/>
        </w:rPr>
        <w:t>
      (с) Заемщиком принято Руководство по реализации Проекта, удовлетворительное для Банка.</w:t>
      </w:r>
      <w:r>
        <w:br/>
      </w:r>
      <w:r>
        <w:rPr>
          <w:rFonts w:ascii="Times New Roman"/>
          <w:b w:val="false"/>
          <w:i w:val="false"/>
          <w:color w:val="000000"/>
          <w:sz w:val="28"/>
        </w:rPr>
        <w:t>
</w:t>
      </w:r>
      <w:r>
        <w:rPr>
          <w:rFonts w:ascii="Times New Roman"/>
          <w:b w:val="false"/>
          <w:i w:val="false"/>
          <w:color w:val="000000"/>
          <w:sz w:val="28"/>
        </w:rPr>
        <w:t>
      4.02. Последним сроком вступления в силу является дата, наступающая по истечении 180 (ста восьмидесяти) дней после даты настоящего Соглашения.</w:t>
      </w:r>
    </w:p>
    <w:bookmarkEnd w:id="11"/>
    <w:bookmarkStart w:name="z29" w:id="12"/>
    <w:p>
      <w:pPr>
        <w:spacing w:after="0"/>
        <w:ind w:left="0"/>
        <w:jc w:val="left"/>
      </w:pPr>
      <w:r>
        <w:rPr>
          <w:rFonts w:ascii="Times New Roman"/>
          <w:b/>
          <w:i w:val="false"/>
          <w:color w:val="000000"/>
        </w:rPr>
        <w:t xml:space="preserve"> 
СТАТЬЯ V — ПРЕДСТАВИТЕЛЬ ЗАЕМЩИКА; АДРЕСА</w:t>
      </w:r>
    </w:p>
    <w:bookmarkEnd w:id="12"/>
    <w:bookmarkStart w:name="z30" w:id="13"/>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w:t>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7-7172-717785</w:t>
      </w:r>
      <w:r>
        <w:br/>
      </w:r>
      <w:r>
        <w:rPr>
          <w:rFonts w:ascii="Times New Roman"/>
          <w:b w:val="false"/>
          <w:i w:val="false"/>
          <w:color w:val="000000"/>
          <w:sz w:val="28"/>
        </w:rPr>
        <w:t>
</w:t>
      </w: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H Street, N.W.</w:t>
      </w:r>
      <w:r>
        <w:br/>
      </w:r>
      <w:r>
        <w:rPr>
          <w:rFonts w:ascii="Times New Roman"/>
          <w:b w:val="false"/>
          <w:i w:val="false"/>
          <w:color w:val="000000"/>
          <w:sz w:val="28"/>
        </w:rPr>
        <w:t>
      Washington, D.С. 20433</w:t>
      </w:r>
      <w:r>
        <w:br/>
      </w:r>
      <w:r>
        <w:rPr>
          <w:rFonts w:ascii="Times New Roman"/>
          <w:b w:val="false"/>
          <w:i w:val="false"/>
          <w:color w:val="000000"/>
          <w:sz w:val="28"/>
        </w:rPr>
        <w:t>
      Unated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1 -202-477 -6391</w:t>
      </w:r>
      <w:r>
        <w:br/>
      </w:r>
      <w:r>
        <w:rPr>
          <w:rFonts w:ascii="Times New Roman"/>
          <w:b w:val="false"/>
          <w:i w:val="false"/>
          <w:color w:val="000000"/>
          <w:sz w:val="28"/>
        </w:rPr>
        <w:t>
      Washington, D.C.   64145(MCI)</w:t>
      </w:r>
      <w:r>
        <w:br/>
      </w:r>
      <w:r>
        <w:rPr>
          <w:rFonts w:ascii="Times New Roman"/>
          <w:b w:val="false"/>
          <w:i w:val="false"/>
          <w:color w:val="000000"/>
          <w:sz w:val="28"/>
        </w:rPr>
        <w:t>
      СОГЛАСОВАНО ______, _____, в день и год, указанные выше.</w:t>
      </w:r>
    </w:p>
    <w:bookmarkEnd w:id="13"/>
    <w:p>
      <w:pPr>
        <w:spacing w:after="0"/>
        <w:ind w:left="0"/>
        <w:jc w:val="both"/>
      </w:pPr>
      <w:r>
        <w:rPr>
          <w:rFonts w:ascii="Times New Roman"/>
          <w:b w:val="false"/>
          <w:i/>
          <w:color w:val="000000"/>
          <w:sz w:val="28"/>
        </w:rPr>
        <w:t>ЗА РЕСПУБЛИКУ КАЗАХСТАН</w:t>
      </w:r>
    </w:p>
    <w:p>
      <w:pPr>
        <w:spacing w:after="0"/>
        <w:ind w:left="0"/>
        <w:jc w:val="both"/>
      </w:pPr>
      <w:r>
        <w:rPr>
          <w:rFonts w:ascii="Times New Roman"/>
          <w:b w:val="false"/>
          <w:i/>
          <w:color w:val="000000"/>
          <w:sz w:val="28"/>
        </w:rPr>
        <w:t>Уполномоченный представитель</w:t>
      </w:r>
    </w:p>
    <w:p>
      <w:pPr>
        <w:spacing w:after="0"/>
        <w:ind w:left="0"/>
        <w:jc w:val="both"/>
      </w:pPr>
      <w:r>
        <w:rPr>
          <w:rFonts w:ascii="Times New Roman"/>
          <w:b w:val="false"/>
          <w:i/>
          <w:color w:val="000000"/>
          <w:sz w:val="28"/>
        </w:rPr>
        <w:t>ЗА МЕЖДУНАРОДНЫЙ БАНК РЕКОНСТРУКЦИИ И РАЗВИТИЯ</w:t>
      </w:r>
    </w:p>
    <w:p>
      <w:pPr>
        <w:spacing w:after="0"/>
        <w:ind w:left="0"/>
        <w:jc w:val="both"/>
      </w:pPr>
      <w:r>
        <w:rPr>
          <w:rFonts w:ascii="Times New Roman"/>
          <w:b w:val="false"/>
          <w:i/>
          <w:color w:val="000000"/>
          <w:sz w:val="28"/>
        </w:rPr>
        <w:t>Уполномоченный представитель</w:t>
      </w:r>
    </w:p>
    <w:bookmarkStart w:name="z51" w:id="14"/>
    <w:p>
      <w:pPr>
        <w:spacing w:after="0"/>
        <w:ind w:left="0"/>
        <w:jc w:val="left"/>
      </w:pPr>
      <w:r>
        <w:rPr>
          <w:rFonts w:ascii="Times New Roman"/>
          <w:b/>
          <w:i w:val="false"/>
          <w:color w:val="000000"/>
        </w:rPr>
        <w:t xml:space="preserve"> 
ПРИЛОЖЕНИЕ 1</w:t>
      </w:r>
      <w:r>
        <w:br/>
      </w:r>
      <w:r>
        <w:rPr>
          <w:rFonts w:ascii="Times New Roman"/>
          <w:b/>
          <w:i w:val="false"/>
          <w:color w:val="000000"/>
        </w:rPr>
        <w:t>
</w:t>
      </w:r>
      <w:r>
        <w:rPr>
          <w:rFonts w:ascii="Times New Roman"/>
          <w:b/>
          <w:i w:val="false"/>
          <w:color w:val="000000"/>
        </w:rPr>
        <w:t>
Описание Проекта</w:t>
      </w:r>
    </w:p>
    <w:bookmarkEnd w:id="14"/>
    <w:bookmarkStart w:name="z53" w:id="15"/>
    <w:p>
      <w:pPr>
        <w:spacing w:after="0"/>
        <w:ind w:left="0"/>
        <w:jc w:val="both"/>
      </w:pPr>
      <w:r>
        <w:rPr>
          <w:rFonts w:ascii="Times New Roman"/>
          <w:b w:val="false"/>
          <w:i w:val="false"/>
          <w:color w:val="000000"/>
          <w:sz w:val="28"/>
        </w:rPr>
        <w:t>
      Целью Проекта является повышение эффективности и результативности национальной статистической системы с целью обеспечения необходимыми, своевременными и достоверными данными в соответствии с международными методиками и лучшей практикой.</w:t>
      </w:r>
      <w:r>
        <w:br/>
      </w:r>
      <w:r>
        <w:rPr>
          <w:rFonts w:ascii="Times New Roman"/>
          <w:b w:val="false"/>
          <w:i w:val="false"/>
          <w:color w:val="000000"/>
          <w:sz w:val="28"/>
        </w:rPr>
        <w:t>
</w:t>
      </w:r>
      <w:r>
        <w:rPr>
          <w:rFonts w:ascii="Times New Roman"/>
          <w:b w:val="false"/>
          <w:i w:val="false"/>
          <w:color w:val="000000"/>
          <w:sz w:val="28"/>
        </w:rPr>
        <w:t>
      Проект состоит из следующих компонентов: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1: Совершенствование институциональной среды и операционного обеспечения статистической системы</w:t>
      </w:r>
      <w:r>
        <w:br/>
      </w:r>
      <w:r>
        <w:rPr>
          <w:rFonts w:ascii="Times New Roman"/>
          <w:b w:val="false"/>
          <w:i w:val="false"/>
          <w:color w:val="000000"/>
          <w:sz w:val="28"/>
        </w:rPr>
        <w:t>
</w:t>
      </w:r>
      <w:r>
        <w:rPr>
          <w:rFonts w:ascii="Times New Roman"/>
          <w:b w:val="false"/>
          <w:i w:val="false"/>
          <w:color w:val="000000"/>
          <w:sz w:val="28"/>
        </w:rPr>
        <w:t>
      Предоставление товаров, консультационных услуг, программ обучения для следующих целей: (а) улучшение законодательной базы, координирующей взаимодействие между правительственными учреждениями, занятыми производством статистических данных; (b) рационализация институциональной структуры АРКС; (с) улучшение процедур и методологии стратегического планирования; (d) разработка и внедрение системы учета нагрузки на персонал; (е) внедрение программы управления качеством; (f) улучшение состояния мебели и оборудования.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2: Улучшение информационно-коммуникационных систем и физической инфраструктуры</w:t>
      </w:r>
      <w:r>
        <w:br/>
      </w:r>
      <w:r>
        <w:rPr>
          <w:rFonts w:ascii="Times New Roman"/>
          <w:b w:val="false"/>
          <w:i w:val="false"/>
          <w:color w:val="000000"/>
          <w:sz w:val="28"/>
        </w:rPr>
        <w:t>
</w:t>
      </w:r>
      <w:r>
        <w:rPr>
          <w:rFonts w:ascii="Times New Roman"/>
          <w:b w:val="false"/>
          <w:i w:val="false"/>
          <w:color w:val="000000"/>
          <w:sz w:val="28"/>
        </w:rPr>
        <w:t>
      Предоставление товаров, консультационных услуг, программ обучения для следующих целей: (а) улучшение интегрированной системы обработки данных; (b) повышение квалификации персонала департамента ИКТ; (с) обновление компьютерного оборудования и программного обеспечения АРКС в целях ускорения процесса обработки данных; и (d) улучшение существующей корпоративной сети коммуникаций АРКС.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3: Развитие кадрового потенциала</w:t>
      </w:r>
      <w:r>
        <w:br/>
      </w:r>
      <w:r>
        <w:rPr>
          <w:rFonts w:ascii="Times New Roman"/>
          <w:b w:val="false"/>
          <w:i w:val="false"/>
          <w:color w:val="000000"/>
          <w:sz w:val="28"/>
        </w:rPr>
        <w:t>
</w:t>
      </w:r>
      <w:r>
        <w:rPr>
          <w:rFonts w:ascii="Times New Roman"/>
          <w:b w:val="false"/>
          <w:i w:val="false"/>
          <w:color w:val="000000"/>
          <w:sz w:val="28"/>
        </w:rPr>
        <w:t>
      Предоставление товаров, консультационных услуг, программ обучения для следующих целей: (а) внедрение новых методов управления, развития карьеры и практики назначения на должность в АРКС; (b) разработка и внедрение стратегии обучения в АРКС (с) разработка и внедрение программы АРКС обучению своего персонала за границей; и (d) пересмотр существующих процедур и политики найма В АРКС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4: Улучшение статистической инфраструктуры, стандартов и методологий</w:t>
      </w:r>
      <w:r>
        <w:br/>
      </w:r>
      <w:r>
        <w:rPr>
          <w:rFonts w:ascii="Times New Roman"/>
          <w:b w:val="false"/>
          <w:i w:val="false"/>
          <w:color w:val="000000"/>
          <w:sz w:val="28"/>
        </w:rPr>
        <w:t>
</w:t>
      </w:r>
      <w:r>
        <w:rPr>
          <w:rFonts w:ascii="Times New Roman"/>
          <w:b w:val="false"/>
          <w:i w:val="false"/>
          <w:color w:val="000000"/>
          <w:sz w:val="28"/>
        </w:rPr>
        <w:t>
      Предоставление товаров, консультационных услуг, программ обучения для следующих целей: (а) актуализация Бизнес регистра; (b) улучшение регистра населений; (с) совершенствование регистра объектов жилого фонда; (d) улучшение сельскохозяйственного регистра; (е) совершенствование классификаторов и стандартов; (f) развитие статистического инструментария; (g) совершенствование методов формирования выборки для обследований; (h) формирование временных рядов и внедрение методов сезонного сглаживания; и (i) усиление аналитической функции АРКС.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5: Совершенствование работы с пользователями и респондентами</w:t>
      </w:r>
      <w:r>
        <w:br/>
      </w:r>
      <w:r>
        <w:rPr>
          <w:rFonts w:ascii="Times New Roman"/>
          <w:b w:val="false"/>
          <w:i w:val="false"/>
          <w:color w:val="000000"/>
          <w:sz w:val="28"/>
        </w:rPr>
        <w:t>
</w:t>
      </w:r>
      <w:r>
        <w:rPr>
          <w:rFonts w:ascii="Times New Roman"/>
          <w:b w:val="false"/>
          <w:i w:val="false"/>
          <w:color w:val="000000"/>
          <w:sz w:val="28"/>
        </w:rPr>
        <w:t>
      Предоставление товаров, консультационных услуг, программ обучения для следующих целей: (а) совершенствование политики взаимоотношений с пользователями; (b) совершенствование распространения и маркетинга статистической информации; (с) улучшение политики по работе с респондентами; и (d) улучшение web-портала АРКС;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6: Совершенствование методологии и практики в  конкретных областях статистики</w:t>
      </w:r>
      <w:r>
        <w:br/>
      </w:r>
      <w:r>
        <w:rPr>
          <w:rFonts w:ascii="Times New Roman"/>
          <w:b w:val="false"/>
          <w:i w:val="false"/>
          <w:color w:val="000000"/>
          <w:sz w:val="28"/>
        </w:rPr>
        <w:t>
</w:t>
      </w:r>
      <w:r>
        <w:rPr>
          <w:rFonts w:ascii="Times New Roman"/>
          <w:b w:val="false"/>
          <w:i w:val="false"/>
          <w:color w:val="000000"/>
          <w:sz w:val="28"/>
        </w:rPr>
        <w:t>
      Предоставление товаров, консультационных услуг, программ обучения для следующих целей: (а) совершенствование макроэкономической статистики; (b) совершенствование микроэкономической статистики, включая статистику промышленности, энергетики, строительства, инвестиций, внешней и внутренней торговли и статистики услуг (с) совершенствование статистики сельского хозяйства; (d) совершенствование социальной статистики; (е) совершенствование статистики труда; и (f) развитие статистики окружающей среды;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7: Управление Проектом</w:t>
      </w:r>
      <w:r>
        <w:br/>
      </w:r>
      <w:r>
        <w:rPr>
          <w:rFonts w:ascii="Times New Roman"/>
          <w:b w:val="false"/>
          <w:i w:val="false"/>
          <w:color w:val="000000"/>
          <w:sz w:val="28"/>
        </w:rPr>
        <w:t>
</w:t>
      </w:r>
      <w:r>
        <w:rPr>
          <w:rFonts w:ascii="Times New Roman"/>
          <w:b w:val="false"/>
          <w:i w:val="false"/>
          <w:color w:val="000000"/>
          <w:sz w:val="28"/>
        </w:rPr>
        <w:t>
      Предоставление товаров, консультационных услуг, программ обучения и операционных расходов АРКС по управлению, реализации, мониторингу и оценке Проекта.</w:t>
      </w:r>
    </w:p>
    <w:bookmarkEnd w:id="15"/>
    <w:bookmarkStart w:name="z69" w:id="16"/>
    <w:p>
      <w:pPr>
        <w:spacing w:after="0"/>
        <w:ind w:left="0"/>
        <w:jc w:val="left"/>
      </w:pPr>
      <w:r>
        <w:rPr>
          <w:rFonts w:ascii="Times New Roman"/>
          <w:b/>
          <w:i w:val="false"/>
          <w:color w:val="000000"/>
        </w:rPr>
        <w:t xml:space="preserve"> 
ПРИЛОЖЕНИЕ 2</w:t>
      </w:r>
      <w:r>
        <w:br/>
      </w:r>
      <w:r>
        <w:rPr>
          <w:rFonts w:ascii="Times New Roman"/>
          <w:b/>
          <w:i w:val="false"/>
          <w:color w:val="000000"/>
        </w:rPr>
        <w:t>
</w:t>
      </w:r>
      <w:r>
        <w:rPr>
          <w:rFonts w:ascii="Times New Roman"/>
          <w:b/>
          <w:i w:val="false"/>
          <w:color w:val="000000"/>
        </w:rPr>
        <w:t>
Реализация Проекта</w:t>
      </w:r>
    </w:p>
    <w:bookmarkEnd w:id="16"/>
    <w:bookmarkStart w:name="z71" w:id="17"/>
    <w:p>
      <w:pPr>
        <w:spacing w:after="0"/>
        <w:ind w:left="0"/>
        <w:jc w:val="both"/>
      </w:pPr>
      <w:r>
        <w:rPr>
          <w:rFonts w:ascii="Times New Roman"/>
          <w:b w:val="false"/>
          <w:i w:val="false"/>
          <w:color w:val="000000"/>
          <w:sz w:val="28"/>
        </w:rPr>
        <w:t>
      </w:t>
      </w:r>
      <w:r>
        <w:rPr>
          <w:rFonts w:ascii="Times New Roman"/>
          <w:b/>
          <w:i w:val="false"/>
          <w:color w:val="000000"/>
          <w:sz w:val="28"/>
        </w:rPr>
        <w:t>Раздел I. Механизмы реализации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организационные мероприятия</w:t>
      </w:r>
    </w:p>
    <w:bookmarkEnd w:id="17"/>
    <w:bookmarkStart w:name="z73" w:id="18"/>
    <w:p>
      <w:pPr>
        <w:spacing w:after="0"/>
        <w:ind w:left="0"/>
        <w:jc w:val="both"/>
      </w:pPr>
      <w:r>
        <w:rPr>
          <w:rFonts w:ascii="Times New Roman"/>
          <w:b w:val="false"/>
          <w:i w:val="false"/>
          <w:color w:val="000000"/>
          <w:sz w:val="28"/>
        </w:rPr>
        <w:t>
      Заемщик реализует Проект в соответствии со следующими организационными и другими мероприятиями:</w:t>
      </w:r>
      <w:r>
        <w:br/>
      </w:r>
      <w:r>
        <w:rPr>
          <w:rFonts w:ascii="Times New Roman"/>
          <w:b w:val="false"/>
          <w:i w:val="false"/>
          <w:color w:val="000000"/>
          <w:sz w:val="28"/>
        </w:rPr>
        <w:t>
</w:t>
      </w:r>
      <w:r>
        <w:rPr>
          <w:rFonts w:ascii="Times New Roman"/>
          <w:b w:val="false"/>
          <w:i w:val="false"/>
          <w:color w:val="000000"/>
          <w:sz w:val="28"/>
        </w:rPr>
        <w:t>
      1. KPГ будет нести общую ответственность за надзор над Проектом, межведомственную координацию и стратегическое управление в соответствии с требованиями, критериями, организационными механизмами и операционными процедурами, указанными и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2. Заемщик, через АРКС и при поддержке КРП,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oтменять или отказываться от каких-либо положений Руководства по реализации Проекта без предварительного одобрения Банком. КРП ежедневно координирует мероприятия Проекта, включая ответственность за отчетность, закупки и финансовое управление в рамках Проекта.</w:t>
      </w:r>
      <w:r>
        <w:br/>
      </w:r>
      <w:r>
        <w:rPr>
          <w:rFonts w:ascii="Times New Roman"/>
          <w:b w:val="false"/>
          <w:i w:val="false"/>
          <w:color w:val="000000"/>
          <w:sz w:val="28"/>
        </w:rPr>
        <w:t>
</w:t>
      </w:r>
      <w:r>
        <w:rPr>
          <w:rFonts w:ascii="Times New Roman"/>
          <w:b w:val="false"/>
          <w:i w:val="false"/>
          <w:color w:val="000000"/>
          <w:sz w:val="28"/>
        </w:rPr>
        <w:t>
      3. На весь период реализации Проекта Заемщик обеспечивает АРКС, ГРП и KPГ составом, ресурсами и техническими заданиями, удовлетворительными для Банка.</w:t>
      </w:r>
      <w:r>
        <w:br/>
      </w:r>
      <w:r>
        <w:rPr>
          <w:rFonts w:ascii="Times New Roman"/>
          <w:b w:val="false"/>
          <w:i w:val="false"/>
          <w:color w:val="000000"/>
          <w:sz w:val="28"/>
        </w:rPr>
        <w:t>
</w:t>
      </w:r>
      <w:r>
        <w:rPr>
          <w:rFonts w:ascii="Times New Roman"/>
          <w:b w:val="false"/>
          <w:i w:val="false"/>
          <w:color w:val="000000"/>
          <w:sz w:val="28"/>
        </w:rPr>
        <w:t>
      4. Заемщик, не позднее 20 декабря каждого года реализации Проекта и начиная с 20 декабря 2011 года, предоставляет в Банк Годовой план реализации Проекта на следующий год, определяющий проектные мероприятия по компонентам и подкомпонентам, а также связанные с ними расходы и финансовые ресурсы и согласовывает с Банком планируемые на следуюший год мероприятия по Проекту и соответствующий бюджет.</w:t>
      </w:r>
      <w:r>
        <w:br/>
      </w:r>
      <w:r>
        <w:rPr>
          <w:rFonts w:ascii="Times New Roman"/>
          <w:b w:val="false"/>
          <w:i w:val="false"/>
          <w:color w:val="000000"/>
          <w:sz w:val="28"/>
        </w:rPr>
        <w:t>
</w:t>
      </w:r>
      <w:r>
        <w:rPr>
          <w:rFonts w:ascii="Times New Roman"/>
          <w:b w:val="false"/>
          <w:i w:val="false"/>
          <w:color w:val="000000"/>
          <w:sz w:val="28"/>
        </w:rPr>
        <w:t>
      5. Заемщик не позднее 31 декабря 2011 года осуществляет выбор и нанимает независимого аудитора, на основании Технического задания, приемлемого для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Антикоррупционные меры</w:t>
      </w:r>
      <w:r>
        <w:br/>
      </w:r>
      <w:r>
        <w:rPr>
          <w:rFonts w:ascii="Times New Roman"/>
          <w:b w:val="false"/>
          <w:i w:val="false"/>
          <w:color w:val="000000"/>
          <w:sz w:val="28"/>
        </w:rPr>
        <w:t>
</w:t>
      </w:r>
      <w:r>
        <w:rPr>
          <w:rFonts w:ascii="Times New Roman"/>
          <w:b w:val="false"/>
          <w:i w:val="false"/>
          <w:color w:val="000000"/>
          <w:sz w:val="28"/>
        </w:rPr>
        <w:t>
      Заемщик обеспечил реализацию Проекта в соответствии с положениями Руководства Банка по противодействию коррупции.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Раздел II. Отчетность по мониторингу и оценка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 Отчеты по Проекту</w:t>
      </w:r>
      <w:r>
        <w:br/>
      </w:r>
      <w:r>
        <w:rPr>
          <w:rFonts w:ascii="Times New Roman"/>
          <w:b w:val="false"/>
          <w:i w:val="false"/>
          <w:color w:val="000000"/>
          <w:sz w:val="28"/>
        </w:rPr>
        <w:t>
</w:t>
      </w: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соответствиями с положениями Раздела 5.08 Общих условии и на основе индикаторов, согласованных с Банком. Каждый Отчет по Проекту должен охватывать период в одно календарное полугодие, и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xml:space="preserve">
      2. В соответствии с Разделом 5.08 (с) Общих условий, отчет о реализации Проекта и соответствующий план, предусмотренные настоящим разделом, будут направлены в Банк не позднее 6 (шести) месяцев после Даты закрытия Проекта. </w:t>
      </w:r>
      <w:r>
        <w:br/>
      </w:r>
      <w:r>
        <w:rPr>
          <w:rFonts w:ascii="Times New Roman"/>
          <w:b w:val="false"/>
          <w:i w:val="false"/>
          <w:color w:val="000000"/>
          <w:sz w:val="28"/>
        </w:rPr>
        <w:t>
</w:t>
      </w:r>
      <w:r>
        <w:rPr>
          <w:rFonts w:ascii="Times New Roman"/>
          <w:b w:val="false"/>
          <w:i w:val="false"/>
          <w:color w:val="000000"/>
          <w:sz w:val="28"/>
        </w:rPr>
        <w:t xml:space="preserve">
      3. Не позднее 30 месяцев с Даты вступления в силу Заемщик совместно с Банком произведет среднесрочный обзор, который, кроме всего прочего, оценит общую успешность реализации Проекта. </w:t>
      </w:r>
      <w:r>
        <w:br/>
      </w:r>
      <w:r>
        <w:rPr>
          <w:rFonts w:ascii="Times New Roman"/>
          <w:b w:val="false"/>
          <w:i w:val="false"/>
          <w:color w:val="000000"/>
          <w:sz w:val="28"/>
        </w:rPr>
        <w:t>
</w:t>
      </w:r>
      <w:r>
        <w:rPr>
          <w:rFonts w:ascii="Times New Roman"/>
          <w:b w:val="false"/>
          <w:i w:val="false"/>
          <w:color w:val="000000"/>
          <w:sz w:val="28"/>
        </w:rPr>
        <w:t>
      4. Заемщик представит Банку, не позднее, чем за 6 (шесть) недель до Среднесрочного обзора, отдельный отчет с описанием хода реализации каждого компонента Проекта и сводный отчет об общей реализации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B. Финансовое управление, финансовая отчетность и аудит</w:t>
      </w:r>
      <w:r>
        <w:br/>
      </w:r>
      <w:r>
        <w:rPr>
          <w:rFonts w:ascii="Times New Roman"/>
          <w:b w:val="false"/>
          <w:i w:val="false"/>
          <w:color w:val="000000"/>
          <w:sz w:val="28"/>
        </w:rPr>
        <w:t>
</w:t>
      </w: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Части А настоящего Раздела, Заемщик готовит и представляет в Банк не позднее, чем через 45 (сорок пять)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предоставляются в Банк не позднее 6 (шести) месяцев после окончания каждого такого периода.</w:t>
      </w:r>
      <w:r>
        <w:br/>
      </w:r>
      <w:r>
        <w:rPr>
          <w:rFonts w:ascii="Times New Roman"/>
          <w:b w:val="false"/>
          <w:i w:val="false"/>
          <w:color w:val="000000"/>
          <w:sz w:val="28"/>
        </w:rPr>
        <w:t>
</w:t>
      </w:r>
      <w:r>
        <w:rPr>
          <w:rFonts w:ascii="Times New Roman"/>
          <w:b w:val="false"/>
          <w:i w:val="false"/>
          <w:color w:val="000000"/>
          <w:sz w:val="28"/>
        </w:rPr>
        <w:t>
      4 До начала реализации Проекта Заемщик осуществляет выбор и нанимает консультанта по финансовому управлению с квалификацией и техническим заданием, приемлемым для Банка, для оказания помощи главному бухгалтеру и несения ответственности за финансовое управление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w:t>
      </w:r>
      <w:r>
        <w:rPr>
          <w:rFonts w:ascii="Times New Roman"/>
          <w:b w:val="false"/>
          <w:i w:val="false"/>
          <w:color w:val="000000"/>
          <w:sz w:val="28"/>
          <w:u w:val="single"/>
        </w:rPr>
        <w:t xml:space="preserve"> Общие положения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Товары</w:t>
      </w:r>
      <w:r>
        <w:rPr>
          <w:rFonts w:ascii="Times New Roman"/>
          <w:b w:val="false"/>
          <w:i w:val="false"/>
          <w:color w:val="000000"/>
          <w:sz w:val="28"/>
        </w:rPr>
        <w:t>. Bсe товары,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Услуги консультантов.</w:t>
      </w:r>
      <w:r>
        <w:rPr>
          <w:rFonts w:ascii="Times New Roman"/>
          <w:b w:val="false"/>
          <w:i w:val="false"/>
          <w:color w:val="000000"/>
          <w:sz w:val="28"/>
        </w:rPr>
        <w:t xml:space="preserve">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В. Специфические методы закупок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товаров.</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используется тот или иной метод.</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3"/>
      </w:tblGrid>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Национальные конкурсные торги, при условии соблюдения положений</w:t>
            </w:r>
            <w:r>
              <w:br/>
            </w:r>
            <w:r>
              <w:rPr>
                <w:rFonts w:ascii="Times New Roman"/>
                <w:b w:val="false"/>
                <w:i w:val="false"/>
                <w:color w:val="000000"/>
                <w:sz w:val="20"/>
              </w:rPr>
              <w:t>
Приложения к настоящему Приложению 2</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Закупки в свободной торговле (Шопинг)</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Прямое заключение контрактов</w:t>
            </w:r>
          </w:p>
        </w:tc>
      </w:tr>
    </w:tbl>
    <w:bookmarkStart w:name="z100" w:id="19"/>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Специфические методы закупки услуг консультантов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color w:val="000000"/>
          <w:sz w:val="28"/>
        </w:rPr>
        <w:t>.</w:t>
      </w:r>
      <w:r>
        <w:rPr>
          <w:rFonts w:ascii="Times New Roman"/>
          <w:b w:val="false"/>
          <w:i w:val="false"/>
          <w:color w:val="000000"/>
          <w:sz w:val="28"/>
        </w:rPr>
        <w:t>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использовался тот или иной метод.</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3"/>
      </w:tblGrid>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Отбор на основе качества</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наименьшей стоимости</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Отбор при фиксированном бюджете</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Закупки из одного источника</w:t>
            </w:r>
          </w:p>
        </w:tc>
      </w:tr>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параграфах 5.2, 5.3 и 5.4 Руководства по консультантам для отбора индивидуальных консультантов</w:t>
            </w:r>
          </w:p>
        </w:tc>
      </w:tr>
    </w:tbl>
    <w:bookmarkStart w:name="z103" w:id="20"/>
    <w:p>
      <w:pPr>
        <w:spacing w:after="0"/>
        <w:ind w:left="0"/>
        <w:jc w:val="both"/>
      </w:pPr>
      <w:r>
        <w:rPr>
          <w:rFonts w:ascii="Times New Roman"/>
          <w:b w:val="false"/>
          <w:i w:val="false"/>
          <w:color w:val="000000"/>
          <w:sz w:val="28"/>
        </w:rPr>
        <w:t>
      </w:t>
      </w:r>
      <w:r>
        <w:rPr>
          <w:rFonts w:ascii="Times New Roman"/>
          <w:b/>
          <w:i w:val="false"/>
          <w:color w:val="000000"/>
          <w:sz w:val="28"/>
        </w:rPr>
        <w:t>D.</w:t>
      </w:r>
      <w:r>
        <w:rPr>
          <w:rFonts w:ascii="Times New Roman"/>
          <w:b w:val="false"/>
          <w:i w:val="false"/>
          <w:color w:val="000000"/>
          <w:sz w:val="28"/>
        </w:rPr>
        <w:t> </w:t>
      </w:r>
      <w:r>
        <w:rPr>
          <w:rFonts w:ascii="Times New Roman"/>
          <w:b w:val="false"/>
          <w:i w:val="false"/>
          <w:color w:val="000000"/>
          <w:sz w:val="28"/>
          <w:u w:val="single"/>
        </w:rPr>
        <w:t>Рассмотрение Банком решений по закупкам</w:t>
      </w:r>
      <w:r>
        <w:br/>
      </w:r>
      <w:r>
        <w:rPr>
          <w:rFonts w:ascii="Times New Roman"/>
          <w:b w:val="false"/>
          <w:i w:val="false"/>
          <w:color w:val="000000"/>
          <w:sz w:val="28"/>
        </w:rPr>
        <w:t>
</w:t>
      </w: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прочие контракты являются предметом Последующего рассмотрения Банком.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Раздел IV.</w:t>
      </w:r>
      <w:r>
        <w:rPr>
          <w:rFonts w:ascii="Times New Roman"/>
          <w:b w:val="false"/>
          <w:i w:val="false"/>
          <w:color w:val="000000"/>
          <w:sz w:val="28"/>
        </w:rPr>
        <w:t> </w:t>
      </w:r>
      <w:r>
        <w:rPr>
          <w:rFonts w:ascii="Times New Roman"/>
          <w:b w:val="false"/>
          <w:i w:val="false"/>
          <w:color w:val="000000"/>
          <w:sz w:val="28"/>
          <w:u w:val="single"/>
        </w:rPr>
        <w:t>Снятие средств Займа со счета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Общие положения</w:t>
      </w:r>
      <w:r>
        <w:br/>
      </w:r>
      <w:r>
        <w:rPr>
          <w:rFonts w:ascii="Times New Roman"/>
          <w:b w:val="false"/>
          <w:i w:val="false"/>
          <w:color w:val="000000"/>
          <w:sz w:val="28"/>
        </w:rPr>
        <w:t>
</w:t>
      </w: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113"/>
        <w:gridCol w:w="54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Выделенная сумма</w:t>
            </w:r>
            <w:r>
              <w:br/>
            </w:r>
            <w:r>
              <w:rPr>
                <w:rFonts w:ascii="Times New Roman"/>
                <w:b/>
                <w:i w:val="false"/>
                <w:color w:val="000000"/>
                <w:sz w:val="20"/>
              </w:rPr>
              <w:t>
Займа (в</w:t>
            </w:r>
            <w:r>
              <w:br/>
            </w:r>
            <w:r>
              <w:rPr>
                <w:rFonts w:ascii="Times New Roman"/>
                <w:b/>
                <w:i w:val="false"/>
                <w:color w:val="000000"/>
                <w:sz w:val="20"/>
              </w:rPr>
              <w:t>
долларовом</w:t>
            </w:r>
            <w:r>
              <w:br/>
            </w:r>
            <w:r>
              <w:rPr>
                <w:rFonts w:ascii="Times New Roman"/>
                <w:b/>
                <w:i w:val="false"/>
                <w:color w:val="000000"/>
                <w:sz w:val="20"/>
              </w:rPr>
              <w:t>
эквиваленте)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w:t>
            </w:r>
            <w:r>
              <w:br/>
            </w:r>
            <w:r>
              <w:rPr>
                <w:rFonts w:ascii="Times New Roman"/>
                <w:b/>
                <w:i w:val="false"/>
                <w:color w:val="000000"/>
                <w:sz w:val="20"/>
              </w:rPr>
              <w:t>
подлежащая</w:t>
            </w:r>
            <w:r>
              <w:br/>
            </w:r>
            <w:r>
              <w:rPr>
                <w:rFonts w:ascii="Times New Roman"/>
                <w:b/>
                <w:i w:val="false"/>
                <w:color w:val="000000"/>
                <w:sz w:val="20"/>
              </w:rPr>
              <w:t>
финансированию (включая</w:t>
            </w:r>
            <w:r>
              <w:br/>
            </w:r>
            <w:r>
              <w:rPr>
                <w:rFonts w:ascii="Times New Roman"/>
                <w:b/>
                <w:i w:val="false"/>
                <w:color w:val="000000"/>
                <w:sz w:val="20"/>
              </w:rPr>
              <w:t>
налоги)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услуги</w:t>
            </w:r>
            <w:r>
              <w:br/>
            </w:r>
            <w:r>
              <w:rPr>
                <w:rFonts w:ascii="Times New Roman"/>
                <w:b w:val="false"/>
                <w:i w:val="false"/>
                <w:color w:val="000000"/>
                <w:sz w:val="20"/>
              </w:rPr>
              <w:t>
консультантов,</w:t>
            </w:r>
            <w:r>
              <w:br/>
            </w:r>
            <w:r>
              <w:rPr>
                <w:rFonts w:ascii="Times New Roman"/>
                <w:b w:val="false"/>
                <w:i w:val="false"/>
                <w:color w:val="000000"/>
                <w:sz w:val="20"/>
              </w:rPr>
              <w:t>
операционные расходы</w:t>
            </w:r>
            <w:r>
              <w:br/>
            </w:r>
            <w:r>
              <w:rPr>
                <w:rFonts w:ascii="Times New Roman"/>
                <w:b w:val="false"/>
                <w:i w:val="false"/>
                <w:color w:val="000000"/>
                <w:sz w:val="20"/>
              </w:rPr>
              <w:t>
и обучение по</w:t>
            </w:r>
            <w:r>
              <w:br/>
            </w:r>
            <w:r>
              <w:rPr>
                <w:rFonts w:ascii="Times New Roman"/>
                <w:b w:val="false"/>
                <w:i w:val="false"/>
                <w:color w:val="000000"/>
                <w:sz w:val="20"/>
              </w:rPr>
              <w:t>
Проекту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$ 20,000,000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21"/>
    <w:p>
      <w:pPr>
        <w:spacing w:after="0"/>
        <w:ind w:left="0"/>
        <w:jc w:val="both"/>
      </w:pPr>
      <w:r>
        <w:rPr>
          <w:rFonts w:ascii="Times New Roman"/>
          <w:b w:val="false"/>
          <w:i w:val="false"/>
          <w:color w:val="000000"/>
          <w:sz w:val="28"/>
        </w:rPr>
        <w:t xml:space="preserve">
      Пояснения к таблице </w:t>
      </w:r>
      <w:r>
        <w:br/>
      </w:r>
      <w:r>
        <w:rPr>
          <w:rFonts w:ascii="Times New Roman"/>
          <w:b w:val="false"/>
          <w:i w:val="false"/>
          <w:color w:val="000000"/>
          <w:sz w:val="28"/>
        </w:rPr>
        <w:t>
</w:t>
      </w:r>
      <w:r>
        <w:rPr>
          <w:rFonts w:ascii="Times New Roman"/>
          <w:b w:val="false"/>
          <w:i w:val="false"/>
          <w:color w:val="000000"/>
          <w:sz w:val="28"/>
        </w:rPr>
        <w:t>
      (а) Термин «операционные расходы» означает обоснованные затраты АРКС но реализации Проекта на связь, переводы, канцелярские товары, объявления, ксерокопирование, почту и поездки. Данный вид расходов будет финансироваться из средств Займа в соответствии с годовым бюджетом, одобренным Банком, и с административными процедурами АРКС, приемлемыми для Банка. Операционные расходы не включают в себя заработную плату государственных служащих Заемщика.</w:t>
      </w:r>
      <w:r>
        <w:br/>
      </w:r>
      <w:r>
        <w:rPr>
          <w:rFonts w:ascii="Times New Roman"/>
          <w:b w:val="false"/>
          <w:i w:val="false"/>
          <w:color w:val="000000"/>
          <w:sz w:val="28"/>
        </w:rPr>
        <w:t>
</w:t>
      </w:r>
      <w:r>
        <w:rPr>
          <w:rFonts w:ascii="Times New Roman"/>
          <w:b w:val="false"/>
          <w:i w:val="false"/>
          <w:color w:val="000000"/>
          <w:sz w:val="28"/>
        </w:rPr>
        <w:t>
      (b) «Обучение» означает имеющие отношение к Проекту тренинги и семинары, проводимые в соответствии с годовым планом обучения, подготовленным АРКС и одобренным Банком, включая ознакомительные поездки, курсы обучения, семинары, тренинги и другие обучающие мероприятия, не включенные в контракты поставщиков товаров и услуг, включая затраты на учебные материалы, аренду помещений и оборудования, поездки внутри страны, суточные обучаемых сотрудников и оплату преподавателей, а также услуги устного и письменного перевода.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Условия снятия; период снятия</w:t>
      </w:r>
      <w:r>
        <w:br/>
      </w:r>
      <w:r>
        <w:rPr>
          <w:rFonts w:ascii="Times New Roman"/>
          <w:b w:val="false"/>
          <w:i w:val="false"/>
          <w:color w:val="000000"/>
          <w:sz w:val="28"/>
        </w:rPr>
        <w:t>
</w:t>
      </w:r>
      <w:r>
        <w:rPr>
          <w:rFonts w:ascii="Times New Roman"/>
          <w:b w:val="false"/>
          <w:i w:val="false"/>
          <w:color w:val="000000"/>
          <w:sz w:val="28"/>
        </w:rPr>
        <w:t>
      1. Независимо oт положений Части А настоящего Раздела, средства не должны сниматься:</w:t>
      </w:r>
      <w:r>
        <w:br/>
      </w:r>
      <w:r>
        <w:rPr>
          <w:rFonts w:ascii="Times New Roman"/>
          <w:b w:val="false"/>
          <w:i w:val="false"/>
          <w:color w:val="000000"/>
          <w:sz w:val="28"/>
        </w:rPr>
        <w:t>
</w:t>
      </w:r>
      <w:r>
        <w:rPr>
          <w:rFonts w:ascii="Times New Roman"/>
          <w:b w:val="false"/>
          <w:i w:val="false"/>
          <w:color w:val="000000"/>
          <w:sz w:val="28"/>
        </w:rPr>
        <w:t>
      (а) со счета Займа до тex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w:t>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w:t>
      </w:r>
      <w:r>
        <w:rPr>
          <w:rFonts w:ascii="Times New Roman"/>
          <w:b w:val="false"/>
          <w:i w:val="false"/>
          <w:color w:val="000000"/>
          <w:sz w:val="28"/>
        </w:rPr>
        <w:t>
      2. Дата закрытия 30 апреля 2017 года.</w:t>
      </w:r>
    </w:p>
    <w:bookmarkEnd w:id="21"/>
    <w:bookmarkStart w:name="z117" w:id="22"/>
    <w:p>
      <w:pPr>
        <w:spacing w:after="0"/>
        <w:ind w:left="0"/>
        <w:jc w:val="left"/>
      </w:pPr>
      <w:r>
        <w:rPr>
          <w:rFonts w:ascii="Times New Roman"/>
          <w:b/>
          <w:i w:val="false"/>
          <w:color w:val="000000"/>
        </w:rPr>
        <w:t xml:space="preserve"> 
Дополнение к</w:t>
      </w:r>
      <w:r>
        <w:br/>
      </w:r>
      <w:r>
        <w:rPr>
          <w:rFonts w:ascii="Times New Roman"/>
          <w:b/>
          <w:i w:val="false"/>
          <w:color w:val="000000"/>
        </w:rPr>
        <w:t>
Приложению 2</w:t>
      </w:r>
    </w:p>
    <w:bookmarkEnd w:id="22"/>
    <w:bookmarkStart w:name="z118" w:id="23"/>
    <w:p>
      <w:pPr>
        <w:spacing w:after="0"/>
        <w:ind w:left="0"/>
        <w:jc w:val="both"/>
      </w:pPr>
      <w:r>
        <w:rPr>
          <w:rFonts w:ascii="Times New Roman"/>
          <w:b w:val="false"/>
          <w:i w:val="false"/>
          <w:color w:val="000000"/>
          <w:sz w:val="28"/>
        </w:rPr>
        <w:t>
      Национальные процедуры конкурсных торгов Заемщика могут быть использованы для закупки товаров в рамках Проекта при условии выполнения следующих условий:</w:t>
      </w:r>
      <w:r>
        <w:br/>
      </w:r>
      <w:r>
        <w:rPr>
          <w:rFonts w:ascii="Times New Roman"/>
          <w:b w:val="false"/>
          <w:i w:val="false"/>
          <w:color w:val="000000"/>
          <w:sz w:val="28"/>
        </w:rPr>
        <w:t>
</w:t>
      </w:r>
      <w:r>
        <w:rPr>
          <w:rFonts w:ascii="Times New Roman"/>
          <w:b w:val="false"/>
          <w:i w:val="false"/>
          <w:color w:val="000000"/>
          <w:sz w:val="28"/>
        </w:rPr>
        <w:t>
      1. Допуск участников конкурса определяется в соответствии с Разделом I Руководства по закупкам по займам МБРР и кредитам MAP. В связи с чем, ни одному участнику не может быть oтказано в участии в конкурсе на контракты, финансируемые Ассоциацией, на основании условий, которые не указаны в Разделе I Руководства по закупкам по займам МБРР и кредитам MAP.</w:t>
      </w:r>
      <w:r>
        <w:br/>
      </w:r>
      <w:r>
        <w:rPr>
          <w:rFonts w:ascii="Times New Roman"/>
          <w:b w:val="false"/>
          <w:i w:val="false"/>
          <w:color w:val="000000"/>
          <w:sz w:val="28"/>
        </w:rPr>
        <w:t>
</w:t>
      </w:r>
      <w:r>
        <w:rPr>
          <w:rFonts w:ascii="Times New Roman"/>
          <w:b w:val="false"/>
          <w:i w:val="false"/>
          <w:color w:val="000000"/>
          <w:sz w:val="28"/>
        </w:rPr>
        <w:t>
      2. Закупающие организации должны использовать стандартную конкурсную документацию, приемлемую для Банка.</w:t>
      </w:r>
      <w:r>
        <w:br/>
      </w:r>
      <w:r>
        <w:rPr>
          <w:rFonts w:ascii="Times New Roman"/>
          <w:b w:val="false"/>
          <w:i w:val="false"/>
          <w:color w:val="000000"/>
          <w:sz w:val="28"/>
        </w:rPr>
        <w:t>
</w:t>
      </w:r>
      <w:r>
        <w:rPr>
          <w:rFonts w:ascii="Times New Roman"/>
          <w:b w:val="false"/>
          <w:i w:val="false"/>
          <w:color w:val="000000"/>
          <w:sz w:val="28"/>
        </w:rPr>
        <w:t>
      3. Продление действия Конкурсной заявки, при исключительных обстоятельствах, запрашивается в письменной форме от всех участников конкурса до даты завершения их срока действия, и на минимальный срок, необходимый для завершения оценки предложений и присуждения контракта.</w:t>
      </w:r>
      <w:r>
        <w:br/>
      </w:r>
      <w:r>
        <w:rPr>
          <w:rFonts w:ascii="Times New Roman"/>
          <w:b w:val="false"/>
          <w:i w:val="false"/>
          <w:color w:val="000000"/>
          <w:sz w:val="28"/>
        </w:rPr>
        <w:t>
</w:t>
      </w:r>
      <w:r>
        <w:rPr>
          <w:rFonts w:ascii="Times New Roman"/>
          <w:b w:val="false"/>
          <w:i w:val="false"/>
          <w:color w:val="000000"/>
          <w:sz w:val="28"/>
        </w:rPr>
        <w:t>
      4. Преференции по государственному признаку не применяются.</w:t>
      </w:r>
      <w:r>
        <w:br/>
      </w:r>
      <w:r>
        <w:rPr>
          <w:rFonts w:ascii="Times New Roman"/>
          <w:b w:val="false"/>
          <w:i w:val="false"/>
          <w:color w:val="000000"/>
          <w:sz w:val="28"/>
        </w:rPr>
        <w:t>
</w:t>
      </w:r>
      <w:r>
        <w:rPr>
          <w:rFonts w:ascii="Times New Roman"/>
          <w:b w:val="false"/>
          <w:i w:val="false"/>
          <w:color w:val="000000"/>
          <w:sz w:val="28"/>
        </w:rPr>
        <w:t>
      5. Opганизации с доминирующим участием государства не участвуют в тендерах, проводимых Правительством, если только не будет доказано, что они финансово и юридически независимы и действуют в рамках коммерческого права.</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color w:val="000000"/>
          <w:sz w:val="28"/>
        </w:rPr>
        <w:t xml:space="preserve">. </w:t>
      </w:r>
      <w:r>
        <w:rPr>
          <w:rFonts w:ascii="Times New Roman"/>
          <w:b w:val="false"/>
          <w:i w:val="false"/>
          <w:color w:val="000000"/>
          <w:sz w:val="28"/>
        </w:rPr>
        <w:t>Постквалификационные критерии применяемся только в отношении эффективности прошлых контрактов, финансового и технического потенциала участников конкурса.</w:t>
      </w:r>
      <w:r>
        <w:br/>
      </w:r>
      <w:r>
        <w:rPr>
          <w:rFonts w:ascii="Times New Roman"/>
          <w:b w:val="false"/>
          <w:i w:val="false"/>
          <w:color w:val="000000"/>
          <w:sz w:val="28"/>
        </w:rPr>
        <w:t>
</w:t>
      </w:r>
      <w:r>
        <w:rPr>
          <w:rFonts w:ascii="Times New Roman"/>
          <w:b w:val="false"/>
          <w:i w:val="false"/>
          <w:color w:val="000000"/>
          <w:sz w:val="28"/>
        </w:rPr>
        <w:t>
      7. Партнеры совместных предприятий несут ответственность совместно и индивидуально.</w:t>
      </w:r>
      <w:r>
        <w:br/>
      </w:r>
      <w:r>
        <w:rPr>
          <w:rFonts w:ascii="Times New Roman"/>
          <w:b w:val="false"/>
          <w:i w:val="false"/>
          <w:color w:val="000000"/>
          <w:sz w:val="28"/>
        </w:rPr>
        <w:t>
</w:t>
      </w:r>
      <w:r>
        <w:rPr>
          <w:rFonts w:ascii="Times New Roman"/>
          <w:b w:val="false"/>
          <w:i w:val="false"/>
          <w:color w:val="000000"/>
          <w:sz w:val="28"/>
        </w:rPr>
        <w:t>
      8. Конкурсные заявки вскрываются публично сразу после даты завершения приема заявок. Ни одна заявка не может быть отклонена на стадии вскрытия кроме тех, которые были получены после завершения срока подачи заявок.</w:t>
      </w:r>
      <w:r>
        <w:br/>
      </w:r>
      <w:r>
        <w:rPr>
          <w:rFonts w:ascii="Times New Roman"/>
          <w:b w:val="false"/>
          <w:i w:val="false"/>
          <w:color w:val="000000"/>
          <w:sz w:val="28"/>
        </w:rPr>
        <w:t>
</w:t>
      </w:r>
      <w:r>
        <w:rPr>
          <w:rFonts w:ascii="Times New Roman"/>
          <w:b w:val="false"/>
          <w:i w:val="false"/>
          <w:color w:val="000000"/>
          <w:sz w:val="28"/>
        </w:rPr>
        <w:t>
      9. Тендерная заявка не может быть отклонена только на основании превышения расчетной стоимости.</w:t>
      </w:r>
      <w:r>
        <w:br/>
      </w:r>
      <w:r>
        <w:rPr>
          <w:rFonts w:ascii="Times New Roman"/>
          <w:b w:val="false"/>
          <w:i w:val="false"/>
          <w:color w:val="000000"/>
          <w:sz w:val="28"/>
        </w:rPr>
        <w:t>
</w:t>
      </w:r>
      <w:r>
        <w:rPr>
          <w:rFonts w:ascii="Times New Roman"/>
          <w:b w:val="false"/>
          <w:i w:val="false"/>
          <w:color w:val="000000"/>
          <w:sz w:val="28"/>
        </w:rPr>
        <w:t>
      10. При оценке заявок квалификационные критерии используются по принципу «прошел/не прошел».</w:t>
      </w:r>
      <w:r>
        <w:br/>
      </w:r>
      <w:r>
        <w:rPr>
          <w:rFonts w:ascii="Times New Roman"/>
          <w:b w:val="false"/>
          <w:i w:val="false"/>
          <w:color w:val="000000"/>
          <w:sz w:val="28"/>
        </w:rPr>
        <w:t>
</w:t>
      </w:r>
      <w:r>
        <w:rPr>
          <w:rFonts w:ascii="Times New Roman"/>
          <w:b w:val="false"/>
          <w:i w:val="false"/>
          <w:color w:val="000000"/>
          <w:sz w:val="28"/>
        </w:rPr>
        <w:t>
      11. Контракты присуждаются квалифицированным участникам, предложившим наиболее низкую оцененную стоимость, и переговоры по ценам не проводятся.</w:t>
      </w:r>
    </w:p>
    <w:bookmarkEnd w:id="23"/>
    <w:bookmarkStart w:name="z130" w:id="24"/>
    <w:p>
      <w:pPr>
        <w:spacing w:after="0"/>
        <w:ind w:left="0"/>
        <w:jc w:val="left"/>
      </w:pPr>
      <w:r>
        <w:rPr>
          <w:rFonts w:ascii="Times New Roman"/>
          <w:b/>
          <w:i w:val="false"/>
          <w:color w:val="000000"/>
        </w:rPr>
        <w:t xml:space="preserve"> 
ПРИЛОЖЕНИЕ 3</w:t>
      </w:r>
      <w:r>
        <w:br/>
      </w:r>
      <w:r>
        <w:rPr>
          <w:rFonts w:ascii="Times New Roman"/>
          <w:b/>
          <w:i w:val="false"/>
          <w:color w:val="000000"/>
        </w:rPr>
        <w:t>
</w:t>
      </w:r>
      <w:r>
        <w:rPr>
          <w:rFonts w:ascii="Times New Roman"/>
          <w:b/>
          <w:i w:val="false"/>
          <w:color w:val="000000"/>
        </w:rPr>
        <w:t>
График погашения</w:t>
      </w:r>
    </w:p>
    <w:bookmarkEnd w:id="24"/>
    <w:bookmarkStart w:name="z132" w:id="25"/>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произведения: (a) Суммы Займа, снятой на первую Дату погашения основного долга, и (b)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549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платежа но основному долгу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погашения</w:t>
            </w:r>
            <w:r>
              <w:br/>
            </w:r>
            <w:r>
              <w:rPr>
                <w:rFonts w:ascii="Times New Roman"/>
                <w:b/>
                <w:i w:val="false"/>
                <w:color w:val="000000"/>
                <w:sz w:val="20"/>
              </w:rPr>
              <w:t>
(в процентном</w:t>
            </w:r>
            <w:r>
              <w:br/>
            </w:r>
            <w:r>
              <w:rPr>
                <w:rFonts w:ascii="Times New Roman"/>
                <w:b/>
                <w:i w:val="false"/>
                <w:color w:val="000000"/>
                <w:sz w:val="20"/>
              </w:rPr>
              <w:t>
выражении)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и 15 октября каждого года,</w:t>
            </w:r>
            <w:r>
              <w:br/>
            </w:r>
            <w:r>
              <w:rPr>
                <w:rFonts w:ascii="Times New Roman"/>
                <w:b w:val="false"/>
                <w:i w:val="false"/>
                <w:color w:val="000000"/>
                <w:sz w:val="20"/>
              </w:rPr>
              <w:t>
начиная с 15 апреля 2016 года по 15</w:t>
            </w:r>
            <w:r>
              <w:br/>
            </w:r>
            <w:r>
              <w:rPr>
                <w:rFonts w:ascii="Times New Roman"/>
                <w:b w:val="false"/>
                <w:i w:val="false"/>
                <w:color w:val="000000"/>
                <w:sz w:val="20"/>
              </w:rPr>
              <w:t>
октября 2025 года.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bl>
    <w:bookmarkStart w:name="z133" w:id="26"/>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w:t>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погашении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w:t>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(а) настоящего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па одобренную валюту, которая подлежит погашению на любую Дату погашения основного долга, наступающую в течение Периода конверсии,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w:t>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суммам в каждой из валют Займа, а также для расчета отдельных графиков погашения для каждой из сумм.</w:t>
      </w:r>
    </w:p>
    <w:bookmarkEnd w:id="26"/>
    <w:bookmarkStart w:name="z140" w:id="27"/>
    <w:p>
      <w:pPr>
        <w:spacing w:after="0"/>
        <w:ind w:left="0"/>
        <w:jc w:val="left"/>
      </w:pPr>
      <w:r>
        <w:rPr>
          <w:rFonts w:ascii="Times New Roman"/>
          <w:b/>
          <w:i w:val="false"/>
          <w:color w:val="000000"/>
        </w:rPr>
        <w:t xml:space="preserve"> 
ДОПОЛНЕНИЕ</w:t>
      </w:r>
      <w:r>
        <w:br/>
      </w:r>
      <w:r>
        <w:rPr>
          <w:rFonts w:ascii="Times New Roman"/>
          <w:b/>
          <w:i w:val="false"/>
          <w:color w:val="000000"/>
        </w:rPr>
        <w:t>
</w:t>
      </w:r>
      <w:r>
        <w:rPr>
          <w:rFonts w:ascii="Times New Roman"/>
          <w:b/>
          <w:i w:val="false"/>
          <w:color w:val="000000"/>
        </w:rPr>
        <w:t>
Раздел 1. Определения</w:t>
      </w:r>
    </w:p>
    <w:bookmarkEnd w:id="27"/>
    <w:bookmarkStart w:name="z142" w:id="28"/>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 и их обновления и мае 2010 и январе 2011 гг.</w:t>
      </w:r>
      <w:r>
        <w:br/>
      </w:r>
      <w:r>
        <w:rPr>
          <w:rFonts w:ascii="Times New Roman"/>
          <w:b w:val="false"/>
          <w:i w:val="false"/>
          <w:color w:val="000000"/>
          <w:sz w:val="28"/>
        </w:rPr>
        <w:t>
</w:t>
      </w:r>
      <w:r>
        <w:rPr>
          <w:rFonts w:ascii="Times New Roman"/>
          <w:b w:val="false"/>
          <w:i w:val="false"/>
          <w:color w:val="000000"/>
          <w:sz w:val="28"/>
        </w:rPr>
        <w:t>
      2. «АРКС» означает Агентство Республики Казахстан по статистике, утвержденное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 1460 от 31 декабря 2004 года, либо любой его преемник или преемники, и которое, вместе с ГРП ответственно за реализацию Проекта.</w:t>
      </w:r>
      <w:r>
        <w:br/>
      </w:r>
      <w:r>
        <w:rPr>
          <w:rFonts w:ascii="Times New Roman"/>
          <w:b w:val="false"/>
          <w:i w:val="false"/>
          <w:color w:val="000000"/>
          <w:sz w:val="28"/>
        </w:rPr>
        <w:t>
</w:t>
      </w:r>
      <w:r>
        <w:rPr>
          <w:rFonts w:ascii="Times New Roman"/>
          <w:b w:val="false"/>
          <w:i w:val="false"/>
          <w:color w:val="000000"/>
          <w:sz w:val="28"/>
        </w:rPr>
        <w:t>
      3.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и в мае 2010 года.</w:t>
      </w:r>
      <w:r>
        <w:br/>
      </w:r>
      <w:r>
        <w:rPr>
          <w:rFonts w:ascii="Times New Roman"/>
          <w:b w:val="false"/>
          <w:i w:val="false"/>
          <w:color w:val="000000"/>
          <w:sz w:val="28"/>
        </w:rPr>
        <w:t>
</w:t>
      </w:r>
      <w:r>
        <w:rPr>
          <w:rFonts w:ascii="Times New Roman"/>
          <w:b w:val="false"/>
          <w:i w:val="false"/>
          <w:color w:val="000000"/>
          <w:sz w:val="28"/>
        </w:rPr>
        <w:t>
      4. «Координационная рабочая группа» или «КРГ» -  межведомственная координационная рабочая группа, образованная в соответствии с подпунктом (b) пункта 4.01 статьи IV настоящего Соглашения в целях надзора и мониторинга реализации Проекта.</w:t>
      </w:r>
      <w:r>
        <w:br/>
      </w:r>
      <w:r>
        <w:rPr>
          <w:rFonts w:ascii="Times New Roman"/>
          <w:b w:val="false"/>
          <w:i w:val="false"/>
          <w:color w:val="000000"/>
          <w:sz w:val="28"/>
        </w:rPr>
        <w:t>
</w:t>
      </w:r>
      <w:r>
        <w:rPr>
          <w:rFonts w:ascii="Times New Roman"/>
          <w:b w:val="false"/>
          <w:i w:val="false"/>
          <w:color w:val="000000"/>
          <w:sz w:val="28"/>
        </w:rPr>
        <w:t>
      5. "Общие условия" - "Общие условия для займов Международного Банка Реконструкции и Развития» от 31 июля 2010 года.</w:t>
      </w:r>
      <w:r>
        <w:br/>
      </w:r>
      <w:r>
        <w:rPr>
          <w:rFonts w:ascii="Times New Roman"/>
          <w:b w:val="false"/>
          <w:i w:val="false"/>
          <w:color w:val="000000"/>
          <w:sz w:val="28"/>
        </w:rPr>
        <w:t>
</w:t>
      </w:r>
      <w:r>
        <w:rPr>
          <w:rFonts w:ascii="Times New Roman"/>
          <w:b w:val="false"/>
          <w:i w:val="false"/>
          <w:color w:val="000000"/>
          <w:sz w:val="28"/>
        </w:rPr>
        <w:t xml:space="preserve">
      6. «Группа по реализации проекта» или «ГРП» означает команду по реализации Проекта, созданную Агентством РК по статистике в соответствии с подпунктом (а) пункта 4.01 статьи IV настоящего Соглашения для реализации Проекта и ежедневного управления Проектом, и которая, </w:t>
      </w:r>
      <w:r>
        <w:rPr>
          <w:rFonts w:ascii="Times New Roman"/>
          <w:b w:val="false"/>
          <w:i/>
          <w:color w:val="000000"/>
          <w:sz w:val="28"/>
        </w:rPr>
        <w:t xml:space="preserve">кроме прочего, </w:t>
      </w:r>
      <w:r>
        <w:rPr>
          <w:rFonts w:ascii="Times New Roman"/>
          <w:b w:val="false"/>
          <w:i w:val="false"/>
          <w:color w:val="000000"/>
          <w:sz w:val="28"/>
        </w:rPr>
        <w:t>состоит из (i) координатора Проекта; (ii) специалиста по финансовому управлению; и (iii) закупщика.</w:t>
      </w:r>
      <w:r>
        <w:br/>
      </w:r>
      <w:r>
        <w:rPr>
          <w:rFonts w:ascii="Times New Roman"/>
          <w:b w:val="false"/>
          <w:i w:val="false"/>
          <w:color w:val="000000"/>
          <w:sz w:val="28"/>
        </w:rPr>
        <w:t>
</w:t>
      </w:r>
      <w:r>
        <w:rPr>
          <w:rFonts w:ascii="Times New Roman"/>
          <w:b w:val="false"/>
          <w:i w:val="false"/>
          <w:color w:val="000000"/>
          <w:sz w:val="28"/>
        </w:rPr>
        <w:t>
      7.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 и в мае 2010 года.</w:t>
      </w:r>
      <w:r>
        <w:br/>
      </w:r>
      <w:r>
        <w:rPr>
          <w:rFonts w:ascii="Times New Roman"/>
          <w:b w:val="false"/>
          <w:i w:val="false"/>
          <w:color w:val="000000"/>
          <w:sz w:val="28"/>
        </w:rPr>
        <w:t>
</w:t>
      </w:r>
      <w:r>
        <w:rPr>
          <w:rFonts w:ascii="Times New Roman"/>
          <w:b w:val="false"/>
          <w:i w:val="false"/>
          <w:color w:val="000000"/>
          <w:sz w:val="28"/>
        </w:rPr>
        <w:t>
      8. «План закупок» означает план закупoк Заемщика для Проекта от 16 февраля 2011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укатанных пунктов.</w:t>
      </w:r>
      <w:r>
        <w:br/>
      </w:r>
      <w:r>
        <w:rPr>
          <w:rFonts w:ascii="Times New Roman"/>
          <w:b w:val="false"/>
          <w:i w:val="false"/>
          <w:color w:val="000000"/>
          <w:sz w:val="28"/>
        </w:rPr>
        <w:t>
</w:t>
      </w:r>
      <w:r>
        <w:rPr>
          <w:rFonts w:ascii="Times New Roman"/>
          <w:b w:val="false"/>
          <w:i w:val="false"/>
          <w:color w:val="000000"/>
          <w:sz w:val="28"/>
        </w:rPr>
        <w:t>
      9. "Руководство по реализации Проекта" означает руководство, принятое Заемщиком в соответствии с подпунктом (с) пункта 4.01 статьи IV настоящего Соглашения, определяющее операционные и административные обязанности, процедуры и правила реализации Проекта, включая руководство по процедурам финансового управления, которое излагает процедуры учета, отчетности и аудита, расходов, движения средств и управления специальным счетом по Проекту, в которое периодически могут вноситься изменения по согласованию с Банком.</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