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01d4" w14:textId="1ed0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10 августа 2011 года № 137</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займе (КАЗСТАТ: Проект по укреплению национальной статистической системы) между Республикой Kaзахстан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(КАЗСТАТ: Проект по укреплению национальной статистической системы)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2011 года № 137</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 О ЗАЙМЕ (КАЗСТАТ: Проект по укреплению</w:t>
      </w:r>
      <w:r>
        <w:br/>
      </w:r>
      <w:r>
        <w:rPr>
          <w:rFonts w:ascii="Times New Roman"/>
          <w:b/>
          <w:i w:val="false"/>
          <w:color w:val="000000"/>
        </w:rPr>
        <w:t>
национальной статистической системы) между</w:t>
      </w:r>
      <w:r>
        <w:br/>
      </w:r>
      <w:r>
        <w:rPr>
          <w:rFonts w:ascii="Times New Roman"/>
          <w:b/>
          <w:i w:val="false"/>
          <w:color w:val="000000"/>
        </w:rPr>
        <w:t>
РЕСПУБЛИКОЙ КАЗАХСТАН и МЕЖДУНАРОДНЫМ БАНКОМ</w:t>
      </w:r>
      <w:r>
        <w:br/>
      </w:r>
      <w:r>
        <w:rPr>
          <w:rFonts w:ascii="Times New Roman"/>
          <w:b/>
          <w:i w:val="false"/>
          <w:color w:val="000000"/>
        </w:rPr>
        <w:t>
РЕКОНСТРУКЦИИ И РАЗВИТИЯ</w:t>
      </w:r>
    </w:p>
    <w:bookmarkEnd w:id="2"/>
    <w:bookmarkStart w:name="z7" w:id="3"/>
    <w:p>
      <w:pPr>
        <w:spacing w:after="0"/>
        <w:ind w:left="0"/>
        <w:jc w:val="both"/>
      </w:pPr>
      <w:r>
        <w:rPr>
          <w:rFonts w:ascii="Times New Roman"/>
          <w:b w:val="false"/>
          <w:i w:val="false"/>
          <w:color w:val="000000"/>
          <w:sz w:val="28"/>
        </w:rPr>
        <w:t>
      Соглашение от _______, 201 ____, между РЕСПУБЛИКОЙ КАЗАХСТАН (Заемщик) и МЕЖДУНАРОДНЫМ БАНКОМ PЕКОНСТРУКЦИИ И РАЗВИТИЯ (Банк). Настоящим Заемщик и Банк договариваются о следуюшем:</w:t>
      </w:r>
    </w:p>
    <w:bookmarkEnd w:id="3"/>
    <w:bookmarkStart w:name="z8" w:id="4"/>
    <w:p>
      <w:pPr>
        <w:spacing w:after="0"/>
        <w:ind w:left="0"/>
        <w:jc w:val="left"/>
      </w:pPr>
      <w:r>
        <w:rPr>
          <w:rFonts w:ascii="Times New Roman"/>
          <w:b/>
          <w:i w:val="false"/>
          <w:color w:val="000000"/>
        </w:rPr>
        <w:t xml:space="preserve"> 
СТАТЬЯ I - ОБЩИЕ УСЛОВИЯ; ОПРЕДЕЛЕНИЯ</w:t>
      </w:r>
    </w:p>
    <w:bookmarkEnd w:id="4"/>
    <w:bookmarkStart w:name="z9"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w:t>
      </w:r>
    </w:p>
    <w:bookmarkEnd w:id="5"/>
    <w:bookmarkStart w:name="z11" w:id="6"/>
    <w:p>
      <w:pPr>
        <w:spacing w:after="0"/>
        <w:ind w:left="0"/>
        <w:jc w:val="left"/>
      </w:pPr>
      <w:r>
        <w:rPr>
          <w:rFonts w:ascii="Times New Roman"/>
          <w:b/>
          <w:i w:val="false"/>
          <w:color w:val="000000"/>
        </w:rPr>
        <w:t xml:space="preserve"> 
СТАТЬЯ II - ЗАЕМ</w:t>
      </w:r>
    </w:p>
    <w:bookmarkEnd w:id="6"/>
    <w:bookmarkStart w:name="z12" w:id="7"/>
    <w:p>
      <w:pPr>
        <w:spacing w:after="0"/>
        <w:ind w:left="0"/>
        <w:jc w:val="both"/>
      </w:pPr>
      <w:r>
        <w:rPr>
          <w:rFonts w:ascii="Times New Roman"/>
          <w:b w:val="false"/>
          <w:i w:val="false"/>
          <w:color w:val="000000"/>
          <w:sz w:val="28"/>
        </w:rPr>
        <w:t>
      2.01. Банк предоставляет Заемщику сумму в двадцать миллионов долларов США (S 20,000,000)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2.03. Заемшик уплачивает Банку комиссию за резервирование средств Займа, равную четверти одного процента(0,25 %) от суммы Займа.</w:t>
      </w:r>
      <w:r>
        <w:br/>
      </w:r>
      <w:r>
        <w:rPr>
          <w:rFonts w:ascii="Times New Roman"/>
          <w:b w:val="false"/>
          <w:i w:val="false"/>
          <w:color w:val="000000"/>
          <w:sz w:val="28"/>
        </w:rPr>
        <w:t>
</w:t>
      </w:r>
      <w:r>
        <w:rPr>
          <w:rFonts w:ascii="Times New Roman"/>
          <w:b w:val="false"/>
          <w:i w:val="false"/>
          <w:color w:val="000000"/>
          <w:sz w:val="28"/>
        </w:rPr>
        <w:t>
      2.04.Заемщик уплачивает вознаграждение в течение каждого Процентного периода по ставке, равной референтной ставке для Валюты Займа плюс Плавающий спрэд; при условии, что при Конверсии всей или любой части основной суммы Займе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(е) Общих положений.</w:t>
      </w:r>
      <w:r>
        <w:br/>
      </w:r>
      <w:r>
        <w:rPr>
          <w:rFonts w:ascii="Times New Roman"/>
          <w:b w:val="false"/>
          <w:i w:val="false"/>
          <w:color w:val="000000"/>
          <w:sz w:val="28"/>
        </w:rPr>
        <w:t>
</w:t>
      </w:r>
      <w:r>
        <w:rPr>
          <w:rFonts w:ascii="Times New Roman"/>
          <w:b w:val="false"/>
          <w:i w:val="false"/>
          <w:color w:val="000000"/>
          <w:sz w:val="28"/>
        </w:rPr>
        <w:t>
      2.05. Даты Платежей: 15 апреля и 15 октября каждого года.</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2.07. (а) Заемщик может в любое время запросить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или Плавающей процентной ставки основанной на плавающем спрэде на Плавающую процентную ставку, основанную на фиксированном спрэде, и (iii) определение приделов Плавающей процентной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Верхнего и Нижнего Пределов Процентной ставки Плавающей ставки.</w:t>
      </w:r>
      <w:r>
        <w:br/>
      </w:r>
      <w:r>
        <w:rPr>
          <w:rFonts w:ascii="Times New Roman"/>
          <w:b w:val="false"/>
          <w:i w:val="false"/>
          <w:color w:val="000000"/>
          <w:sz w:val="28"/>
        </w:rPr>
        <w:t>
</w:t>
      </w:r>
      <w:r>
        <w:rPr>
          <w:rFonts w:ascii="Times New Roman"/>
          <w:b w:val="false"/>
          <w:i w:val="false"/>
          <w:color w:val="000000"/>
          <w:sz w:val="28"/>
        </w:rPr>
        <w:t>
      (b) Любое изменение, запрошенное в соответствии с подпунктом (а) настоящего пункта, которое принято Банком, будет считаться "Конверсией", как определено в Общих условиях, и вступит в силу в cooтветствии с положениями Статьи IV Общих условий и Руководства по Конверсии.</w:t>
      </w:r>
    </w:p>
    <w:bookmarkEnd w:id="7"/>
    <w:bookmarkStart w:name="z20" w:id="8"/>
    <w:p>
      <w:pPr>
        <w:spacing w:after="0"/>
        <w:ind w:left="0"/>
        <w:jc w:val="left"/>
      </w:pPr>
      <w:r>
        <w:rPr>
          <w:rFonts w:ascii="Times New Roman"/>
          <w:b/>
          <w:i w:val="false"/>
          <w:color w:val="000000"/>
        </w:rPr>
        <w:t xml:space="preserve"> 
СТАТЬЯ III - ПРОЕКТ</w:t>
      </w:r>
    </w:p>
    <w:bookmarkEnd w:id="8"/>
    <w:bookmarkStart w:name="z21" w:id="9"/>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реализует Проект через Агентство Республики Казахстан по статистике в соответствии с положениями Статьи V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пункта 3.01 настоящего Соглашения и, если иное не согласовано между Заемщиком и Банком,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9"/>
    <w:bookmarkStart w:name="z23" w:id="10"/>
    <w:p>
      <w:pPr>
        <w:spacing w:after="0"/>
        <w:ind w:left="0"/>
        <w:jc w:val="left"/>
      </w:pPr>
      <w:r>
        <w:rPr>
          <w:rFonts w:ascii="Times New Roman"/>
          <w:b/>
          <w:i w:val="false"/>
          <w:color w:val="000000"/>
        </w:rPr>
        <w:t xml:space="preserve"> 
СТАТЬЯ IV - ВСТУПЛЕНИЕ ЗАЙМА В СИЛУ; РАСТОРЖЕНИЕ</w:t>
      </w:r>
    </w:p>
    <w:bookmarkEnd w:id="10"/>
    <w:bookmarkStart w:name="z24" w:id="11"/>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w:t>
      </w:r>
      <w:r>
        <w:br/>
      </w:r>
      <w:r>
        <w:rPr>
          <w:rFonts w:ascii="Times New Roman"/>
          <w:b w:val="false"/>
          <w:i w:val="false"/>
          <w:color w:val="000000"/>
          <w:sz w:val="28"/>
        </w:rPr>
        <w:t>
</w:t>
      </w:r>
      <w:r>
        <w:rPr>
          <w:rFonts w:ascii="Times New Roman"/>
          <w:b w:val="false"/>
          <w:i w:val="false"/>
          <w:color w:val="000000"/>
          <w:sz w:val="28"/>
        </w:rPr>
        <w:t>
      (а) ГРП создана Заемщиком через АРКС, состав, ресурсы и технические задания которой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(b) KPГ создана Заемщиком, состав, ресурсы и технические задания которой являются приемлемыми для Банка.</w:t>
      </w:r>
      <w:r>
        <w:br/>
      </w:r>
      <w:r>
        <w:rPr>
          <w:rFonts w:ascii="Times New Roman"/>
          <w:b w:val="false"/>
          <w:i w:val="false"/>
          <w:color w:val="000000"/>
          <w:sz w:val="28"/>
        </w:rPr>
        <w:t>
</w:t>
      </w:r>
      <w:r>
        <w:rPr>
          <w:rFonts w:ascii="Times New Roman"/>
          <w:b w:val="false"/>
          <w:i w:val="false"/>
          <w:color w:val="000000"/>
          <w:sz w:val="28"/>
        </w:rPr>
        <w:t>
      (с) Заемщиком принято Руководство по реализации Проекта, удовлетворительное для Банка.</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в силу является дата, наступающая по истечении 180 (ста восьмидесяти) дней после даты настоящего Соглашения.</w:t>
      </w:r>
    </w:p>
    <w:bookmarkEnd w:id="11"/>
    <w:bookmarkStart w:name="z29" w:id="12"/>
    <w:p>
      <w:pPr>
        <w:spacing w:after="0"/>
        <w:ind w:left="0"/>
        <w:jc w:val="left"/>
      </w:pPr>
      <w:r>
        <w:rPr>
          <w:rFonts w:ascii="Times New Roman"/>
          <w:b/>
          <w:i w:val="false"/>
          <w:color w:val="000000"/>
        </w:rPr>
        <w:t xml:space="preserve"> 
СТАТЬЯ V — ПРЕДСТАВИТЕЛЬ ЗАЕМЩИКА; АДРЕСА</w:t>
      </w:r>
    </w:p>
    <w:bookmarkEnd w:id="12"/>
    <w:bookmarkStart w:name="z30" w:id="13"/>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w:t>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r>
        <w:br/>
      </w:r>
      <w:r>
        <w:rPr>
          <w:rFonts w:ascii="Times New Roman"/>
          <w:b w:val="false"/>
          <w:i w:val="false"/>
          <w:color w:val="000000"/>
          <w:sz w:val="28"/>
        </w:rPr>
        <w:t>
</w:t>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H Street, N.W.</w:t>
      </w:r>
      <w:r>
        <w:br/>
      </w:r>
      <w:r>
        <w:rPr>
          <w:rFonts w:ascii="Times New Roman"/>
          <w:b w:val="false"/>
          <w:i w:val="false"/>
          <w:color w:val="000000"/>
          <w:sz w:val="28"/>
        </w:rPr>
        <w:t>
      Washington, D.С. 20433</w:t>
      </w:r>
      <w:r>
        <w:br/>
      </w:r>
      <w:r>
        <w:rPr>
          <w:rFonts w:ascii="Times New Roman"/>
          <w:b w:val="false"/>
          <w:i w:val="false"/>
          <w:color w:val="000000"/>
          <w:sz w:val="28"/>
        </w:rPr>
        <w:t>
      Unated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1 -202-477 -6391</w:t>
      </w:r>
      <w:r>
        <w:br/>
      </w:r>
      <w:r>
        <w:rPr>
          <w:rFonts w:ascii="Times New Roman"/>
          <w:b w:val="false"/>
          <w:i w:val="false"/>
          <w:color w:val="000000"/>
          <w:sz w:val="28"/>
        </w:rPr>
        <w:t>
      Washington, D.C.   64145(MCI)</w:t>
      </w:r>
      <w:r>
        <w:br/>
      </w:r>
      <w:r>
        <w:rPr>
          <w:rFonts w:ascii="Times New Roman"/>
          <w:b w:val="false"/>
          <w:i w:val="false"/>
          <w:color w:val="000000"/>
          <w:sz w:val="28"/>
        </w:rPr>
        <w:t>
      СОГЛАСОВАНО ______, _____, в день и год, указанные выше.</w:t>
      </w:r>
    </w:p>
    <w:bookmarkEnd w:id="13"/>
    <w:p>
      <w:pPr>
        <w:spacing w:after="0"/>
        <w:ind w:left="0"/>
        <w:jc w:val="both"/>
      </w:pPr>
      <w:r>
        <w:rPr>
          <w:rFonts w:ascii="Times New Roman"/>
          <w:b w:val="false"/>
          <w:i/>
          <w:color w:val="000000"/>
          <w:sz w:val="28"/>
        </w:rPr>
        <w:t>ЗА РЕСПУБЛИКУ КАЗАХСТАН</w:t>
      </w:r>
    </w:p>
    <w:p>
      <w:pPr>
        <w:spacing w:after="0"/>
        <w:ind w:left="0"/>
        <w:jc w:val="both"/>
      </w:pPr>
      <w:r>
        <w:rPr>
          <w:rFonts w:ascii="Times New Roman"/>
          <w:b w:val="false"/>
          <w:i/>
          <w:color w:val="000000"/>
          <w:sz w:val="28"/>
        </w:rPr>
        <w:t>Уполномоченный представитель</w:t>
      </w:r>
    </w:p>
    <w:p>
      <w:pPr>
        <w:spacing w:after="0"/>
        <w:ind w:left="0"/>
        <w:jc w:val="both"/>
      </w:pPr>
      <w:r>
        <w:rPr>
          <w:rFonts w:ascii="Times New Roman"/>
          <w:b w:val="false"/>
          <w:i/>
          <w:color w:val="000000"/>
          <w:sz w:val="28"/>
        </w:rPr>
        <w:t>ЗА МЕЖДУНАРОДНЫЙ БАНК РЕКОНСТРУКЦИИ И РАЗВИТИЯ</w:t>
      </w:r>
    </w:p>
    <w:p>
      <w:pPr>
        <w:spacing w:after="0"/>
        <w:ind w:left="0"/>
        <w:jc w:val="both"/>
      </w:pPr>
      <w:r>
        <w:rPr>
          <w:rFonts w:ascii="Times New Roman"/>
          <w:b w:val="false"/>
          <w:i/>
          <w:color w:val="000000"/>
          <w:sz w:val="28"/>
        </w:rPr>
        <w:t>Уполномоченный представитель</w:t>
      </w:r>
    </w:p>
    <w:bookmarkStart w:name="z51" w:id="14"/>
    <w:p>
      <w:pPr>
        <w:spacing w:after="0"/>
        <w:ind w:left="0"/>
        <w:jc w:val="left"/>
      </w:pPr>
      <w:r>
        <w:rPr>
          <w:rFonts w:ascii="Times New Roman"/>
          <w:b/>
          <w:i w:val="false"/>
          <w:color w:val="000000"/>
        </w:rPr>
        <w:t xml:space="preserve"> 
ПРИЛОЖЕНИЕ 1</w:t>
      </w:r>
      <w:r>
        <w:br/>
      </w:r>
      <w:r>
        <w:rPr>
          <w:rFonts w:ascii="Times New Roman"/>
          <w:b/>
          <w:i w:val="false"/>
          <w:color w:val="000000"/>
        </w:rPr>
        <w:t>
</w:t>
      </w:r>
      <w:r>
        <w:rPr>
          <w:rFonts w:ascii="Times New Roman"/>
          <w:b/>
          <w:i w:val="false"/>
          <w:color w:val="000000"/>
        </w:rPr>
        <w:t>
Описание Проекта</w:t>
      </w:r>
    </w:p>
    <w:bookmarkEnd w:id="14"/>
    <w:bookmarkStart w:name="z53" w:id="15"/>
    <w:p>
      <w:pPr>
        <w:spacing w:after="0"/>
        <w:ind w:left="0"/>
        <w:jc w:val="both"/>
      </w:pPr>
      <w:r>
        <w:rPr>
          <w:rFonts w:ascii="Times New Roman"/>
          <w:b w:val="false"/>
          <w:i w:val="false"/>
          <w:color w:val="000000"/>
          <w:sz w:val="28"/>
        </w:rPr>
        <w:t>
      Целью Проекта является повышение эффективности и результативности национальной статистической системы с целью обеспечения необходимыми, своевременными и достоверными данными в соответствии с международными методиками и лучшей практикой.</w:t>
      </w:r>
      <w:r>
        <w:br/>
      </w:r>
      <w:r>
        <w:rPr>
          <w:rFonts w:ascii="Times New Roman"/>
          <w:b w:val="false"/>
          <w:i w:val="false"/>
          <w:color w:val="000000"/>
          <w:sz w:val="28"/>
        </w:rPr>
        <w:t>
</w:t>
      </w:r>
      <w:r>
        <w:rPr>
          <w:rFonts w:ascii="Times New Roman"/>
          <w:b w:val="false"/>
          <w:i w:val="false"/>
          <w:color w:val="000000"/>
          <w:sz w:val="28"/>
        </w:rPr>
        <w:t>
      Проект состоит из следующих компонентов: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1: Совершенствование институциональной среды и операционного обеспечения статистической системы</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улучшение законодательной базы, координирующей взаимодействие между правительственными учреждениями, занятыми производством статистических данных; (b) рационализация институциональной структуры АРКС; (с) улучшение процедур и методологии стратегического планирования; (d) разработка и внедрение системы учета нагрузки на персонал; (е) внедрение программы управления качеством; (f) улучшение состояния мебели и оборудования.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2: Улучшение информационно-коммуникационных систем и физической инфраструктуры</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улучшение интегрированной системы обработки данных; (b) повышение квалификации персонала департамента ИКТ; (с) обновление компьютерного оборудования и программного обеспечения АРКС в целях ускорения процесса обработки данных; и (d) улучшение существующей корпоративной сети коммуникаций АРКС.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3: Развитие кадрового потенциала</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внедрение новых методов управления, развития карьеры и практики назначения на должность в АРКС; (b) разработка и внедрение стратегии обучения в АРКС (с) разработка и внедрение программы АРКС обучению своего персонала за границей; и (d) пересмотр существующих процедур и политики найма В АРКС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4: Улучшение статистической инфраструктуры, стандартов и методологий</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актуализация Бизнес регистра; (b) улучшение регистра населений; (с) совершенствование регистра объектов жилого фонда; (d) улучшение сельскохозяйственного регистра; (е) совершенствование классификаторов и стандартов; (f) развитие статистического инструментария; (g) совершенствование методов формирования выборки для обследований; (h) формирование временных рядов и внедрение методов сезонного сглаживания; и (i) усиление аналитической функции АРКС.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5: Совершенствование работы с пользователями и респондентами</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совершенствование политики взаимоотношений с пользователями; (b) совершенствование распространения и маркетинга статистической информации; (с) улучшение политики по работе с респондентами; и (d) улучшение web-портала АРКС;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6: Совершенствование методологии и практики в  конкретных областях статистики</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для следующих целей: (а) совершенствование макроэкономической статистики; (b) совершенствование микроэкономической статистики, включая статистику промышленности, энергетики, строительства, инвестиций, внешней и внутренней торговли и статистики услуг (с) совершенствование статистики сельского хозяйства; (d) совершенствование социальной статистики; (е) совершенствование статистики труда; и (f) развитие статистики окружающей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7: Управление Проектом</w:t>
      </w:r>
      <w:r>
        <w:br/>
      </w:r>
      <w:r>
        <w:rPr>
          <w:rFonts w:ascii="Times New Roman"/>
          <w:b w:val="false"/>
          <w:i w:val="false"/>
          <w:color w:val="000000"/>
          <w:sz w:val="28"/>
        </w:rPr>
        <w:t>
</w:t>
      </w:r>
      <w:r>
        <w:rPr>
          <w:rFonts w:ascii="Times New Roman"/>
          <w:b w:val="false"/>
          <w:i w:val="false"/>
          <w:color w:val="000000"/>
          <w:sz w:val="28"/>
        </w:rPr>
        <w:t>
      Предоставление товаров, консультационных услуг, программ обучения и операционных расходов АРКС по управлению, реализации, мониторингу и оценке Проекта.</w:t>
      </w:r>
    </w:p>
    <w:bookmarkEnd w:id="15"/>
    <w:bookmarkStart w:name="z69" w:id="16"/>
    <w:p>
      <w:pPr>
        <w:spacing w:after="0"/>
        <w:ind w:left="0"/>
        <w:jc w:val="left"/>
      </w:pPr>
      <w:r>
        <w:rPr>
          <w:rFonts w:ascii="Times New Roman"/>
          <w:b/>
          <w:i w:val="false"/>
          <w:color w:val="000000"/>
        </w:rPr>
        <w:t xml:space="preserve"> 
ПРИЛОЖЕНИЕ 2</w:t>
      </w:r>
      <w:r>
        <w:br/>
      </w:r>
      <w:r>
        <w:rPr>
          <w:rFonts w:ascii="Times New Roman"/>
          <w:b/>
          <w:i w:val="false"/>
          <w:color w:val="000000"/>
        </w:rPr>
        <w:t>
</w:t>
      </w:r>
      <w:r>
        <w:rPr>
          <w:rFonts w:ascii="Times New Roman"/>
          <w:b/>
          <w:i w:val="false"/>
          <w:color w:val="000000"/>
        </w:rPr>
        <w:t>
Реализация Проекта</w:t>
      </w:r>
    </w:p>
    <w:bookmarkEnd w:id="16"/>
    <w:bookmarkStart w:name="z71" w:id="17"/>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организационные мероприятия</w:t>
      </w:r>
    </w:p>
    <w:bookmarkEnd w:id="17"/>
    <w:bookmarkStart w:name="z73" w:id="18"/>
    <w:p>
      <w:pPr>
        <w:spacing w:after="0"/>
        <w:ind w:left="0"/>
        <w:jc w:val="both"/>
      </w:pPr>
      <w:r>
        <w:rPr>
          <w:rFonts w:ascii="Times New Roman"/>
          <w:b w:val="false"/>
          <w:i w:val="false"/>
          <w:color w:val="000000"/>
          <w:sz w:val="28"/>
        </w:rPr>
        <w:t>
      Заемщик реализует Проект в соответствии со следующими организационными и другими мероприятиями:</w:t>
      </w:r>
      <w:r>
        <w:br/>
      </w:r>
      <w:r>
        <w:rPr>
          <w:rFonts w:ascii="Times New Roman"/>
          <w:b w:val="false"/>
          <w:i w:val="false"/>
          <w:color w:val="000000"/>
          <w:sz w:val="28"/>
        </w:rPr>
        <w:t>
</w:t>
      </w:r>
      <w:r>
        <w:rPr>
          <w:rFonts w:ascii="Times New Roman"/>
          <w:b w:val="false"/>
          <w:i w:val="false"/>
          <w:color w:val="000000"/>
          <w:sz w:val="28"/>
        </w:rPr>
        <w:t>
      1. KPГ будет нести общую ответственность за надзор над Проектом, межведомственную координацию и стратегическое управление в соответствии с требованиями, критериями, организационными механизмами и операционными процедурами, указанными и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 Заемщик, через АРКС и при поддержке КРП,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oтменять или отказываться от каких-либо положений Руководства по реализации Проекта без предварительного одобрения Банком. КРП ежедневно координирует мероприятия Проекта, включая ответственность за отчетность, закупки и финансовое управление в рамках Проекта.</w:t>
      </w:r>
      <w:r>
        <w:br/>
      </w:r>
      <w:r>
        <w:rPr>
          <w:rFonts w:ascii="Times New Roman"/>
          <w:b w:val="false"/>
          <w:i w:val="false"/>
          <w:color w:val="000000"/>
          <w:sz w:val="28"/>
        </w:rPr>
        <w:t>
</w:t>
      </w:r>
      <w:r>
        <w:rPr>
          <w:rFonts w:ascii="Times New Roman"/>
          <w:b w:val="false"/>
          <w:i w:val="false"/>
          <w:color w:val="000000"/>
          <w:sz w:val="28"/>
        </w:rPr>
        <w:t>
      3. На весь период реализации Проекта Заемщик обеспечивает АРКС, ГРП и KPГ составом, ресурсами и техническими заданиями,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4. Заемщик, не позднее 20 декабря каждого года реализации Проекта и начиная с 20 декабря 2011 года, предоставляет в Банк Годовой план реализации Проекта на следующий год, определяющий проектные мероприятия по компонентам и подкомпонентам, а также связанные с ними расходы и финансовые ресурсы и согласовывает с Банком планируемые на следуюший год мероприятия по Проекту и соответствующий бюджет.</w:t>
      </w:r>
      <w:r>
        <w:br/>
      </w:r>
      <w:r>
        <w:rPr>
          <w:rFonts w:ascii="Times New Roman"/>
          <w:b w:val="false"/>
          <w:i w:val="false"/>
          <w:color w:val="000000"/>
          <w:sz w:val="28"/>
        </w:rPr>
        <w:t>
</w:t>
      </w:r>
      <w:r>
        <w:rPr>
          <w:rFonts w:ascii="Times New Roman"/>
          <w:b w:val="false"/>
          <w:i w:val="false"/>
          <w:color w:val="000000"/>
          <w:sz w:val="28"/>
        </w:rPr>
        <w:t>
      5. Заемщик не позднее 31 декабря 2011 года осуществляет выбор и нанимает независимого аудитора, на основании Технического задания, приемлемого для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Антикоррупционные меры</w:t>
      </w:r>
      <w:r>
        <w:br/>
      </w:r>
      <w:r>
        <w:rPr>
          <w:rFonts w:ascii="Times New Roman"/>
          <w:b w:val="false"/>
          <w:i w:val="false"/>
          <w:color w:val="000000"/>
          <w:sz w:val="28"/>
        </w:rPr>
        <w:t>
</w:t>
      </w:r>
      <w:r>
        <w:rPr>
          <w:rFonts w:ascii="Times New Roman"/>
          <w:b w:val="false"/>
          <w:i w:val="false"/>
          <w:color w:val="000000"/>
          <w:sz w:val="28"/>
        </w:rPr>
        <w:t>
      Заемщик обеспечил реализацию Проекта в соответствии с положениями Руководства Банка по противодействию коррупции.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Раздел II. Отчетность по мониторингу и оценка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 Отчеты по Проекту</w:t>
      </w:r>
      <w:r>
        <w:br/>
      </w:r>
      <w:r>
        <w:rPr>
          <w:rFonts w:ascii="Times New Roman"/>
          <w:b w:val="false"/>
          <w:i w:val="false"/>
          <w:color w:val="000000"/>
          <w:sz w:val="28"/>
        </w:rPr>
        <w:t>
</w:t>
      </w: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соответствиями с положениями Раздела 5.08 Общих условии и на основе индикаторов, согласованных с Банком. Каждый Отчет по Проекту должен охватывать период в одно календарное полугодие,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xml:space="preserve">
      2. В соответствии с Разделом 5.08 (с) Общих условий, отчет о реализации Проекта и соответствующий план, предусмотренные настоящим разделом, будут направлены в Банк не позднее 6 (шести) месяцев после Даты закрытия Проекта. </w:t>
      </w:r>
      <w:r>
        <w:br/>
      </w:r>
      <w:r>
        <w:rPr>
          <w:rFonts w:ascii="Times New Roman"/>
          <w:b w:val="false"/>
          <w:i w:val="false"/>
          <w:color w:val="000000"/>
          <w:sz w:val="28"/>
        </w:rPr>
        <w:t>
</w:t>
      </w:r>
      <w:r>
        <w:rPr>
          <w:rFonts w:ascii="Times New Roman"/>
          <w:b w:val="false"/>
          <w:i w:val="false"/>
          <w:color w:val="000000"/>
          <w:sz w:val="28"/>
        </w:rPr>
        <w:t xml:space="preserve">
      3. Не позднее 30 месяцев с Даты вступления в силу Заемщик совместно с Банком произведет среднесрочный обзор, который, кроме всего прочего, оценит общую успешность реализации Проекта. </w:t>
      </w:r>
      <w:r>
        <w:br/>
      </w:r>
      <w:r>
        <w:rPr>
          <w:rFonts w:ascii="Times New Roman"/>
          <w:b w:val="false"/>
          <w:i w:val="false"/>
          <w:color w:val="000000"/>
          <w:sz w:val="28"/>
        </w:rPr>
        <w:t>
</w:t>
      </w:r>
      <w:r>
        <w:rPr>
          <w:rFonts w:ascii="Times New Roman"/>
          <w:b w:val="false"/>
          <w:i w:val="false"/>
          <w:color w:val="000000"/>
          <w:sz w:val="28"/>
        </w:rPr>
        <w:t>
      4. Заемщик представит Банку, не позднее, чем за 6 (шесть) недель до Среднесрочного обзора, отдельный отчет с описанием хода реализации каждого компонента Проекта и сводный отчет об общей реализации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r>
        <w:br/>
      </w:r>
      <w:r>
        <w:rPr>
          <w:rFonts w:ascii="Times New Roman"/>
          <w:b w:val="false"/>
          <w:i w:val="false"/>
          <w:color w:val="000000"/>
          <w:sz w:val="28"/>
        </w:rPr>
        <w:t>
</w:t>
      </w: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настоящего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предоставляются в Банк не позднее 6 (шести) месяцев после окончания каждого такого периода.</w:t>
      </w:r>
      <w:r>
        <w:br/>
      </w:r>
      <w:r>
        <w:rPr>
          <w:rFonts w:ascii="Times New Roman"/>
          <w:b w:val="false"/>
          <w:i w:val="false"/>
          <w:color w:val="000000"/>
          <w:sz w:val="28"/>
        </w:rPr>
        <w:t>
</w:t>
      </w:r>
      <w:r>
        <w:rPr>
          <w:rFonts w:ascii="Times New Roman"/>
          <w:b w:val="false"/>
          <w:i w:val="false"/>
          <w:color w:val="000000"/>
          <w:sz w:val="28"/>
        </w:rPr>
        <w:t>
      4 До начала реализации Проекта Заемщик осуществляет выбор и нанимает консультанта по финансовому управлению с квалификацией и техническим заданием, приемлемым для Банка, для оказания помощи главному бухгалтеру и несения ответственности за финансовое управление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u w:val="single"/>
        </w:rPr>
        <w:t xml:space="preserve">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Товары</w:t>
      </w:r>
      <w:r>
        <w:rPr>
          <w:rFonts w:ascii="Times New Roman"/>
          <w:b w:val="false"/>
          <w:i w:val="false"/>
          <w:color w:val="000000"/>
          <w:sz w:val="28"/>
        </w:rPr>
        <w:t>. Bсe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 Специфические методы закупок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используется тот или иной метод.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3"/>
      </w:tblGrid>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при условии соблюдения положений</w:t>
            </w:r>
            <w:r>
              <w:br/>
            </w:r>
            <w:r>
              <w:rPr>
                <w:rFonts w:ascii="Times New Roman"/>
                <w:b w:val="false"/>
                <w:i w:val="false"/>
                <w:color w:val="000000"/>
                <w:sz w:val="20"/>
              </w:rPr>
              <w:t>
Приложения к настоящему Приложению 2</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Закупки в свободной торговле (Шопинг)</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Прямое заключение контрактов</w:t>
            </w:r>
          </w:p>
        </w:tc>
      </w:tr>
    </w:tbl>
    <w:bookmarkStart w:name="z100" w:id="19"/>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Специфические методы закупки услуг консультантов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color w:val="000000"/>
          <w:sz w:val="28"/>
        </w:rPr>
        <w:t>.</w:t>
      </w:r>
      <w:r>
        <w:rPr>
          <w:rFonts w:ascii="Times New Roman"/>
          <w:b w:val="false"/>
          <w:i w:val="false"/>
          <w:color w:val="000000"/>
          <w:sz w:val="28"/>
        </w:rPr>
        <w:t>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использовался тот или иной метод.</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3"/>
      </w:tblGrid>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при фиксированном бюджете</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5.3 и 5.4 Руководства по консультантам для отбора индивидуальных консультантов</w:t>
            </w:r>
          </w:p>
        </w:tc>
      </w:tr>
    </w:tbl>
    <w:bookmarkStart w:name="z103" w:id="20"/>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w:t>
      </w:r>
      <w:r>
        <w:rPr>
          <w:rFonts w:ascii="Times New Roman"/>
          <w:b w:val="false"/>
          <w:i w:val="false"/>
          <w:color w:val="000000"/>
          <w:sz w:val="28"/>
          <w:u w:val="single"/>
        </w:rPr>
        <w:t>Рассмотрение Банком решений по закупкам</w:t>
      </w:r>
      <w:r>
        <w:br/>
      </w:r>
      <w:r>
        <w:rPr>
          <w:rFonts w:ascii="Times New Roman"/>
          <w:b w:val="false"/>
          <w:i w:val="false"/>
          <w:color w:val="000000"/>
          <w:sz w:val="28"/>
        </w:rPr>
        <w:t>
</w:t>
      </w: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Раздел IV.</w:t>
      </w:r>
      <w:r>
        <w:rPr>
          <w:rFonts w:ascii="Times New Roman"/>
          <w:b w:val="false"/>
          <w:i w:val="false"/>
          <w:color w:val="000000"/>
          <w:sz w:val="28"/>
        </w:rPr>
        <w:t> </w:t>
      </w:r>
      <w:r>
        <w:rPr>
          <w:rFonts w:ascii="Times New Roman"/>
          <w:b w:val="false"/>
          <w:i w:val="false"/>
          <w:color w:val="000000"/>
          <w:sz w:val="28"/>
          <w:u w:val="single"/>
        </w:rPr>
        <w:t>Снятие средств Займа со счета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113"/>
        <w:gridCol w:w="54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w:t>
            </w:r>
            <w:r>
              <w:br/>
            </w:r>
            <w:r>
              <w:rPr>
                <w:rFonts w:ascii="Times New Roman"/>
                <w:b/>
                <w:i w:val="false"/>
                <w:color w:val="000000"/>
                <w:sz w:val="20"/>
              </w:rPr>
              <w:t>
долларовом</w:t>
            </w:r>
            <w:r>
              <w:br/>
            </w:r>
            <w:r>
              <w:rPr>
                <w:rFonts w:ascii="Times New Roman"/>
                <w:b/>
                <w:i w:val="false"/>
                <w:color w:val="000000"/>
                <w:sz w:val="20"/>
              </w:rPr>
              <w:t>
эквиваленте)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w:t>
            </w:r>
            <w:r>
              <w:br/>
            </w:r>
            <w:r>
              <w:rPr>
                <w:rFonts w:ascii="Times New Roman"/>
                <w:b/>
                <w:i w:val="false"/>
                <w:color w:val="000000"/>
                <w:sz w:val="20"/>
              </w:rPr>
              <w:t>
подлежащая</w:t>
            </w:r>
            <w:r>
              <w:br/>
            </w:r>
            <w:r>
              <w:rPr>
                <w:rFonts w:ascii="Times New Roman"/>
                <w:b/>
                <w:i w:val="false"/>
                <w:color w:val="000000"/>
                <w:sz w:val="20"/>
              </w:rPr>
              <w:t>
финансированию (включая</w:t>
            </w:r>
            <w:r>
              <w:br/>
            </w:r>
            <w:r>
              <w:rPr>
                <w:rFonts w:ascii="Times New Roman"/>
                <w:b/>
                <w:i w:val="false"/>
                <w:color w:val="000000"/>
                <w:sz w:val="20"/>
              </w:rPr>
              <w:t>
налоги)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услуги</w:t>
            </w:r>
            <w:r>
              <w:br/>
            </w:r>
            <w:r>
              <w:rPr>
                <w:rFonts w:ascii="Times New Roman"/>
                <w:b w:val="false"/>
                <w:i w:val="false"/>
                <w:color w:val="000000"/>
                <w:sz w:val="20"/>
              </w:rPr>
              <w:t>
консультантов,</w:t>
            </w:r>
            <w:r>
              <w:br/>
            </w:r>
            <w:r>
              <w:rPr>
                <w:rFonts w:ascii="Times New Roman"/>
                <w:b w:val="false"/>
                <w:i w:val="false"/>
                <w:color w:val="000000"/>
                <w:sz w:val="20"/>
              </w:rPr>
              <w:t>
операционные расходы</w:t>
            </w:r>
            <w:r>
              <w:br/>
            </w:r>
            <w:r>
              <w:rPr>
                <w:rFonts w:ascii="Times New Roman"/>
                <w:b w:val="false"/>
                <w:i w:val="false"/>
                <w:color w:val="000000"/>
                <w:sz w:val="20"/>
              </w:rPr>
              <w:t>
и обучение по</w:t>
            </w:r>
            <w:r>
              <w:br/>
            </w:r>
            <w:r>
              <w:rPr>
                <w:rFonts w:ascii="Times New Roman"/>
                <w:b w:val="false"/>
                <w:i w:val="false"/>
                <w:color w:val="000000"/>
                <w:sz w:val="20"/>
              </w:rPr>
              <w:t>
Проекту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$ 20,000,000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21"/>
    <w:p>
      <w:pPr>
        <w:spacing w:after="0"/>
        <w:ind w:left="0"/>
        <w:jc w:val="both"/>
      </w:pPr>
      <w:r>
        <w:rPr>
          <w:rFonts w:ascii="Times New Roman"/>
          <w:b w:val="false"/>
          <w:i w:val="false"/>
          <w:color w:val="000000"/>
          <w:sz w:val="28"/>
        </w:rPr>
        <w:t xml:space="preserve">
      Пояснения к таблице </w:t>
      </w:r>
      <w:r>
        <w:br/>
      </w:r>
      <w:r>
        <w:rPr>
          <w:rFonts w:ascii="Times New Roman"/>
          <w:b w:val="false"/>
          <w:i w:val="false"/>
          <w:color w:val="000000"/>
          <w:sz w:val="28"/>
        </w:rPr>
        <w:t>
</w:t>
      </w:r>
      <w:r>
        <w:rPr>
          <w:rFonts w:ascii="Times New Roman"/>
          <w:b w:val="false"/>
          <w:i w:val="false"/>
          <w:color w:val="000000"/>
          <w:sz w:val="28"/>
        </w:rPr>
        <w:t>
      (а) Термин «операционные расходы» означает обоснованные затраты АРКС но реализации Проекта на связь, переводы, канцелярские товары, объявления, ксерокопирование, почту и поездки. Данный вид расходов будет финансироваться из средств Займа в соответствии с годовым бюджетом, одобренным Банком, и с административными процедурами АРКС, приемлемыми для Банка. Операционные расходы не включают в себя заработную плату государственных служащих Заемщика.</w:t>
      </w:r>
      <w:r>
        <w:br/>
      </w:r>
      <w:r>
        <w:rPr>
          <w:rFonts w:ascii="Times New Roman"/>
          <w:b w:val="false"/>
          <w:i w:val="false"/>
          <w:color w:val="000000"/>
          <w:sz w:val="28"/>
        </w:rPr>
        <w:t>
</w:t>
      </w:r>
      <w:r>
        <w:rPr>
          <w:rFonts w:ascii="Times New Roman"/>
          <w:b w:val="false"/>
          <w:i w:val="false"/>
          <w:color w:val="000000"/>
          <w:sz w:val="28"/>
        </w:rPr>
        <w:t>
      (b) «Обучение» означает имеющие отношение к Проекту тренинги и семинары, проводимые в соответствии с годовым планом обучения, подготовленным АРКС и одобренным Банком, включая ознакомительные поездки, курсы обучения, семинары, тренинги и другие обучающие мероприятия, не включенные в контракты поставщиков товаров и услуг, включая затраты на учебные материалы, аренду помещений и оборудования, поездки внутри страны, суточные обучаемых сотрудников и оплату преподавателей, а также услуги устного и письменного перевода.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w:t>
      </w:r>
      <w:r>
        <w:rPr>
          <w:rFonts w:ascii="Times New Roman"/>
          <w:b w:val="false"/>
          <w:i w:val="false"/>
          <w:color w:val="000000"/>
          <w:sz w:val="28"/>
        </w:rPr>
        <w:t>
      1. Независимо oт положений Части А настоящего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(а) со счета Займа до тex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30 апреля 2017 года.</w:t>
      </w:r>
    </w:p>
    <w:bookmarkEnd w:id="21"/>
    <w:bookmarkStart w:name="z117" w:id="22"/>
    <w:p>
      <w:pPr>
        <w:spacing w:after="0"/>
        <w:ind w:left="0"/>
        <w:jc w:val="left"/>
      </w:pPr>
      <w:r>
        <w:rPr>
          <w:rFonts w:ascii="Times New Roman"/>
          <w:b/>
          <w:i w:val="false"/>
          <w:color w:val="000000"/>
        </w:rPr>
        <w:t xml:space="preserve"> 
Дополнение к</w:t>
      </w:r>
      <w:r>
        <w:br/>
      </w:r>
      <w:r>
        <w:rPr>
          <w:rFonts w:ascii="Times New Roman"/>
          <w:b/>
          <w:i w:val="false"/>
          <w:color w:val="000000"/>
        </w:rPr>
        <w:t>
Приложению 2</w:t>
      </w:r>
    </w:p>
    <w:bookmarkEnd w:id="22"/>
    <w:bookmarkStart w:name="z118" w:id="23"/>
    <w:p>
      <w:pPr>
        <w:spacing w:after="0"/>
        <w:ind w:left="0"/>
        <w:jc w:val="both"/>
      </w:pPr>
      <w:r>
        <w:rPr>
          <w:rFonts w:ascii="Times New Roman"/>
          <w:b w:val="false"/>
          <w:i w:val="false"/>
          <w:color w:val="000000"/>
          <w:sz w:val="28"/>
        </w:rPr>
        <w:t>
      Национальные процедуры конкурсных торгов Заемщика могут быть использованы для закупки товаров в рамках Проекта при условии выполнения следующих условий:</w:t>
      </w:r>
      <w:r>
        <w:br/>
      </w:r>
      <w:r>
        <w:rPr>
          <w:rFonts w:ascii="Times New Roman"/>
          <w:b w:val="false"/>
          <w:i w:val="false"/>
          <w:color w:val="000000"/>
          <w:sz w:val="28"/>
        </w:rPr>
        <w:t>
</w:t>
      </w:r>
      <w:r>
        <w:rPr>
          <w:rFonts w:ascii="Times New Roman"/>
          <w:b w:val="false"/>
          <w:i w:val="false"/>
          <w:color w:val="000000"/>
          <w:sz w:val="28"/>
        </w:rPr>
        <w:t>
      1. Допуск участников конкурса определяется в соответствии с Разделом I Руководства по закупкам по займам МБРР и кредитам MAP. В связи с чем, ни одному участнику не может быть oтказано в участии в конкурсе на контракты, финансируемые Ассоциацией, на основании условий, которые не указаны в Разделе I Руководства по закупкам по займам МБРР и кредитам MAP.</w:t>
      </w:r>
      <w:r>
        <w:br/>
      </w:r>
      <w:r>
        <w:rPr>
          <w:rFonts w:ascii="Times New Roman"/>
          <w:b w:val="false"/>
          <w:i w:val="false"/>
          <w:color w:val="000000"/>
          <w:sz w:val="28"/>
        </w:rPr>
        <w:t>
</w:t>
      </w:r>
      <w:r>
        <w:rPr>
          <w:rFonts w:ascii="Times New Roman"/>
          <w:b w:val="false"/>
          <w:i w:val="false"/>
          <w:color w:val="000000"/>
          <w:sz w:val="28"/>
        </w:rPr>
        <w:t>
      2. Закупающие организации должны использовать стандартную конкурсную документацию, приемлемую для Банка.</w:t>
      </w:r>
      <w:r>
        <w:br/>
      </w:r>
      <w:r>
        <w:rPr>
          <w:rFonts w:ascii="Times New Roman"/>
          <w:b w:val="false"/>
          <w:i w:val="false"/>
          <w:color w:val="000000"/>
          <w:sz w:val="28"/>
        </w:rPr>
        <w:t>
</w:t>
      </w:r>
      <w:r>
        <w:rPr>
          <w:rFonts w:ascii="Times New Roman"/>
          <w:b w:val="false"/>
          <w:i w:val="false"/>
          <w:color w:val="000000"/>
          <w:sz w:val="28"/>
        </w:rPr>
        <w:t>
      3. Продление действия Конкурсной заявки, при исключительных обстоятельствах, запрашивается в письменной форме от всех участников конкурса до даты завершения их срока действия, и на минимальный срок, необходимый для завершения оценки предложений и присуждения контракта.</w:t>
      </w:r>
      <w:r>
        <w:br/>
      </w:r>
      <w:r>
        <w:rPr>
          <w:rFonts w:ascii="Times New Roman"/>
          <w:b w:val="false"/>
          <w:i w:val="false"/>
          <w:color w:val="000000"/>
          <w:sz w:val="28"/>
        </w:rPr>
        <w:t>
</w:t>
      </w:r>
      <w:r>
        <w:rPr>
          <w:rFonts w:ascii="Times New Roman"/>
          <w:b w:val="false"/>
          <w:i w:val="false"/>
          <w:color w:val="000000"/>
          <w:sz w:val="28"/>
        </w:rPr>
        <w:t>
      4. Преференции по государственному признаку не применяются.</w:t>
      </w:r>
      <w:r>
        <w:br/>
      </w:r>
      <w:r>
        <w:rPr>
          <w:rFonts w:ascii="Times New Roman"/>
          <w:b w:val="false"/>
          <w:i w:val="false"/>
          <w:color w:val="000000"/>
          <w:sz w:val="28"/>
        </w:rPr>
        <w:t>
</w:t>
      </w:r>
      <w:r>
        <w:rPr>
          <w:rFonts w:ascii="Times New Roman"/>
          <w:b w:val="false"/>
          <w:i w:val="false"/>
          <w:color w:val="000000"/>
          <w:sz w:val="28"/>
        </w:rPr>
        <w:t>
      5. Opганизации с доминирующим участием государства не участвуют в тендерах, проводимых Правительством, если только не будет доказано, что они финансово и юридически независимы и действуют в рамках коммерческого права.</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color w:val="000000"/>
          <w:sz w:val="28"/>
        </w:rPr>
        <w:t xml:space="preserve">. </w:t>
      </w:r>
      <w:r>
        <w:rPr>
          <w:rFonts w:ascii="Times New Roman"/>
          <w:b w:val="false"/>
          <w:i w:val="false"/>
          <w:color w:val="000000"/>
          <w:sz w:val="28"/>
        </w:rPr>
        <w:t>Постквалификационные критерии применяемся только в отношении эффективности прошлых контрактов, финансового и технического потенциала участников конкурса.</w:t>
      </w:r>
      <w:r>
        <w:br/>
      </w:r>
      <w:r>
        <w:rPr>
          <w:rFonts w:ascii="Times New Roman"/>
          <w:b w:val="false"/>
          <w:i w:val="false"/>
          <w:color w:val="000000"/>
          <w:sz w:val="28"/>
        </w:rPr>
        <w:t>
</w:t>
      </w:r>
      <w:r>
        <w:rPr>
          <w:rFonts w:ascii="Times New Roman"/>
          <w:b w:val="false"/>
          <w:i w:val="false"/>
          <w:color w:val="000000"/>
          <w:sz w:val="28"/>
        </w:rPr>
        <w:t>
      7. Партнеры совместных предприятий несут ответственность совместно и индивидуально.</w:t>
      </w:r>
      <w:r>
        <w:br/>
      </w:r>
      <w:r>
        <w:rPr>
          <w:rFonts w:ascii="Times New Roman"/>
          <w:b w:val="false"/>
          <w:i w:val="false"/>
          <w:color w:val="000000"/>
          <w:sz w:val="28"/>
        </w:rPr>
        <w:t>
</w:t>
      </w:r>
      <w:r>
        <w:rPr>
          <w:rFonts w:ascii="Times New Roman"/>
          <w:b w:val="false"/>
          <w:i w:val="false"/>
          <w:color w:val="000000"/>
          <w:sz w:val="28"/>
        </w:rPr>
        <w:t>
      8. Конкурсные заявки вскрываются публично сразу после даты завершения приема заявок. Ни одна заявка не может быть отклонена на стадии вскрытия кроме тех, которые были получены после завершения срока подачи заявок.</w:t>
      </w:r>
      <w:r>
        <w:br/>
      </w:r>
      <w:r>
        <w:rPr>
          <w:rFonts w:ascii="Times New Roman"/>
          <w:b w:val="false"/>
          <w:i w:val="false"/>
          <w:color w:val="000000"/>
          <w:sz w:val="28"/>
        </w:rPr>
        <w:t>
</w:t>
      </w:r>
      <w:r>
        <w:rPr>
          <w:rFonts w:ascii="Times New Roman"/>
          <w:b w:val="false"/>
          <w:i w:val="false"/>
          <w:color w:val="000000"/>
          <w:sz w:val="28"/>
        </w:rPr>
        <w:t>
      9. Тендерная заявка не может быть отклонена только на основании превышения расчетной стоимости.</w:t>
      </w:r>
      <w:r>
        <w:br/>
      </w:r>
      <w:r>
        <w:rPr>
          <w:rFonts w:ascii="Times New Roman"/>
          <w:b w:val="false"/>
          <w:i w:val="false"/>
          <w:color w:val="000000"/>
          <w:sz w:val="28"/>
        </w:rPr>
        <w:t>
</w:t>
      </w:r>
      <w:r>
        <w:rPr>
          <w:rFonts w:ascii="Times New Roman"/>
          <w:b w:val="false"/>
          <w:i w:val="false"/>
          <w:color w:val="000000"/>
          <w:sz w:val="28"/>
        </w:rPr>
        <w:t>
      10. При оценке заявок квалификационные критерии используются по принципу «прошел/не прошел».</w:t>
      </w:r>
      <w:r>
        <w:br/>
      </w:r>
      <w:r>
        <w:rPr>
          <w:rFonts w:ascii="Times New Roman"/>
          <w:b w:val="false"/>
          <w:i w:val="false"/>
          <w:color w:val="000000"/>
          <w:sz w:val="28"/>
        </w:rPr>
        <w:t>
</w:t>
      </w:r>
      <w:r>
        <w:rPr>
          <w:rFonts w:ascii="Times New Roman"/>
          <w:b w:val="false"/>
          <w:i w:val="false"/>
          <w:color w:val="000000"/>
          <w:sz w:val="28"/>
        </w:rPr>
        <w:t>
      11. Контракты присуждаются квалифицированным участникам, предложившим наиболее низкую оцененную стоимость, и переговоры по ценам не проводятся.</w:t>
      </w:r>
    </w:p>
    <w:bookmarkEnd w:id="23"/>
    <w:bookmarkStart w:name="z130" w:id="24"/>
    <w:p>
      <w:pPr>
        <w:spacing w:after="0"/>
        <w:ind w:left="0"/>
        <w:jc w:val="left"/>
      </w:pPr>
      <w:r>
        <w:rPr>
          <w:rFonts w:ascii="Times New Roman"/>
          <w:b/>
          <w:i w:val="false"/>
          <w:color w:val="000000"/>
        </w:rPr>
        <w:t xml:space="preserve"> 
ПРИЛОЖЕНИЕ 3</w:t>
      </w:r>
      <w:r>
        <w:br/>
      </w:r>
      <w:r>
        <w:rPr>
          <w:rFonts w:ascii="Times New Roman"/>
          <w:b/>
          <w:i w:val="false"/>
          <w:color w:val="000000"/>
        </w:rPr>
        <w:t>
</w:t>
      </w:r>
      <w:r>
        <w:rPr>
          <w:rFonts w:ascii="Times New Roman"/>
          <w:b/>
          <w:i w:val="false"/>
          <w:color w:val="000000"/>
        </w:rPr>
        <w:t>
График погашения</w:t>
      </w:r>
    </w:p>
    <w:bookmarkEnd w:id="24"/>
    <w:bookmarkStart w:name="z132" w:id="25"/>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произведения: (a)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549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но основному долгу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w:t>
            </w:r>
            <w:r>
              <w:br/>
            </w:r>
            <w:r>
              <w:rPr>
                <w:rFonts w:ascii="Times New Roman"/>
                <w:b/>
                <w:i w:val="false"/>
                <w:color w:val="000000"/>
                <w:sz w:val="20"/>
              </w:rPr>
              <w:t>
выражении)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и 15 октября каждого года,</w:t>
            </w:r>
            <w:r>
              <w:br/>
            </w:r>
            <w:r>
              <w:rPr>
                <w:rFonts w:ascii="Times New Roman"/>
                <w:b w:val="false"/>
                <w:i w:val="false"/>
                <w:color w:val="000000"/>
                <w:sz w:val="20"/>
              </w:rPr>
              <w:t>
начиная с 15 апреля 2016 года по 15</w:t>
            </w:r>
            <w:r>
              <w:br/>
            </w:r>
            <w:r>
              <w:rPr>
                <w:rFonts w:ascii="Times New Roman"/>
                <w:b w:val="false"/>
                <w:i w:val="false"/>
                <w:color w:val="000000"/>
                <w:sz w:val="20"/>
              </w:rPr>
              <w:t>
октября 2025 года.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bl>
    <w:bookmarkStart w:name="z133" w:id="26"/>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w:t>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погашении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па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w:t>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w:t>
      </w:r>
    </w:p>
    <w:bookmarkEnd w:id="26"/>
    <w:bookmarkStart w:name="z140" w:id="27"/>
    <w:p>
      <w:pPr>
        <w:spacing w:after="0"/>
        <w:ind w:left="0"/>
        <w:jc w:val="left"/>
      </w:pPr>
      <w:r>
        <w:rPr>
          <w:rFonts w:ascii="Times New Roman"/>
          <w:b/>
          <w:i w:val="false"/>
          <w:color w:val="000000"/>
        </w:rPr>
        <w:t xml:space="preserve"> 
ДОПОЛНЕНИЕ</w:t>
      </w:r>
      <w:r>
        <w:br/>
      </w:r>
      <w:r>
        <w:rPr>
          <w:rFonts w:ascii="Times New Roman"/>
          <w:b/>
          <w:i w:val="false"/>
          <w:color w:val="000000"/>
        </w:rPr>
        <w:t>
</w:t>
      </w:r>
      <w:r>
        <w:rPr>
          <w:rFonts w:ascii="Times New Roman"/>
          <w:b/>
          <w:i w:val="false"/>
          <w:color w:val="000000"/>
        </w:rPr>
        <w:t>
Раздел 1. Определения</w:t>
      </w:r>
    </w:p>
    <w:bookmarkEnd w:id="27"/>
    <w:bookmarkStart w:name="z142" w:id="28"/>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и их обновления и мае 2010 и январе 2011 гг.</w:t>
      </w:r>
      <w:r>
        <w:br/>
      </w:r>
      <w:r>
        <w:rPr>
          <w:rFonts w:ascii="Times New Roman"/>
          <w:b w:val="false"/>
          <w:i w:val="false"/>
          <w:color w:val="000000"/>
          <w:sz w:val="28"/>
        </w:rPr>
        <w:t>
</w:t>
      </w:r>
      <w:r>
        <w:rPr>
          <w:rFonts w:ascii="Times New Roman"/>
          <w:b w:val="false"/>
          <w:i w:val="false"/>
          <w:color w:val="000000"/>
          <w:sz w:val="28"/>
        </w:rPr>
        <w:t>
      2. «АРКС» означает Агентство Республики Казахстан по статистике,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1460 от 31 декабря 2004 года, либо любой его преемник или преемники, и которое, вместе с ГРП ответственно за реализацию Проекта.</w:t>
      </w:r>
      <w:r>
        <w:br/>
      </w:r>
      <w:r>
        <w:rPr>
          <w:rFonts w:ascii="Times New Roman"/>
          <w:b w:val="false"/>
          <w:i w:val="false"/>
          <w:color w:val="000000"/>
          <w:sz w:val="28"/>
        </w:rPr>
        <w:t>
</w:t>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в мае 2010 года.</w:t>
      </w:r>
      <w:r>
        <w:br/>
      </w:r>
      <w:r>
        <w:rPr>
          <w:rFonts w:ascii="Times New Roman"/>
          <w:b w:val="false"/>
          <w:i w:val="false"/>
          <w:color w:val="000000"/>
          <w:sz w:val="28"/>
        </w:rPr>
        <w:t>
</w:t>
      </w:r>
      <w:r>
        <w:rPr>
          <w:rFonts w:ascii="Times New Roman"/>
          <w:b w:val="false"/>
          <w:i w:val="false"/>
          <w:color w:val="000000"/>
          <w:sz w:val="28"/>
        </w:rPr>
        <w:t>
      4. «Координационная рабочая группа» или «КРГ» -  межведомственная координационная рабочая группа, образованная в соответствии с подпунктом (b) пункта 4.01 статьи IV настоящего Соглашения в целях надзора и мониторинга реализации Проекта.</w:t>
      </w:r>
      <w:r>
        <w:br/>
      </w:r>
      <w:r>
        <w:rPr>
          <w:rFonts w:ascii="Times New Roman"/>
          <w:b w:val="false"/>
          <w:i w:val="false"/>
          <w:color w:val="000000"/>
          <w:sz w:val="28"/>
        </w:rPr>
        <w:t>
</w:t>
      </w:r>
      <w:r>
        <w:rPr>
          <w:rFonts w:ascii="Times New Roman"/>
          <w:b w:val="false"/>
          <w:i w:val="false"/>
          <w:color w:val="000000"/>
          <w:sz w:val="28"/>
        </w:rPr>
        <w:t>
      5. "Общие условия" - "Общие условия для займов Международного Банка Реконструкции и Развития» от 31 июля 2010 года.</w:t>
      </w:r>
      <w:r>
        <w:br/>
      </w:r>
      <w:r>
        <w:rPr>
          <w:rFonts w:ascii="Times New Roman"/>
          <w:b w:val="false"/>
          <w:i w:val="false"/>
          <w:color w:val="000000"/>
          <w:sz w:val="28"/>
        </w:rPr>
        <w:t>
</w:t>
      </w:r>
      <w:r>
        <w:rPr>
          <w:rFonts w:ascii="Times New Roman"/>
          <w:b w:val="false"/>
          <w:i w:val="false"/>
          <w:color w:val="000000"/>
          <w:sz w:val="28"/>
        </w:rPr>
        <w:t xml:space="preserve">
      6. «Группа по реализации проекта» или «ГРП» означает команду по реализации Проекта, созданную Агентством РК по статистике в соответствии с подпунктом (а) пункта 4.01 статьи IV настоящего Соглашения для реализации Проекта и ежедневного управления Проектом, и которая, </w:t>
      </w:r>
      <w:r>
        <w:rPr>
          <w:rFonts w:ascii="Times New Roman"/>
          <w:b w:val="false"/>
          <w:i/>
          <w:color w:val="000000"/>
          <w:sz w:val="28"/>
        </w:rPr>
        <w:t xml:space="preserve">кроме прочего, </w:t>
      </w:r>
      <w:r>
        <w:rPr>
          <w:rFonts w:ascii="Times New Roman"/>
          <w:b w:val="false"/>
          <w:i w:val="false"/>
          <w:color w:val="000000"/>
          <w:sz w:val="28"/>
        </w:rPr>
        <w:t>состоит из (i) координатора Проекта; (ii) специалиста по финансовому управлению; и (iii) закупщика.</w:t>
      </w:r>
      <w:r>
        <w:br/>
      </w:r>
      <w:r>
        <w:rPr>
          <w:rFonts w:ascii="Times New Roman"/>
          <w:b w:val="false"/>
          <w:i w:val="false"/>
          <w:color w:val="000000"/>
          <w:sz w:val="28"/>
        </w:rPr>
        <w:t>
</w:t>
      </w:r>
      <w:r>
        <w:rPr>
          <w:rFonts w:ascii="Times New Roman"/>
          <w:b w:val="false"/>
          <w:i w:val="false"/>
          <w:color w:val="000000"/>
          <w:sz w:val="28"/>
        </w:rPr>
        <w:t>
      7.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и в мае 2010 года.</w:t>
      </w:r>
      <w:r>
        <w:br/>
      </w:r>
      <w:r>
        <w:rPr>
          <w:rFonts w:ascii="Times New Roman"/>
          <w:b w:val="false"/>
          <w:i w:val="false"/>
          <w:color w:val="000000"/>
          <w:sz w:val="28"/>
        </w:rPr>
        <w:t>
</w:t>
      </w:r>
      <w:r>
        <w:rPr>
          <w:rFonts w:ascii="Times New Roman"/>
          <w:b w:val="false"/>
          <w:i w:val="false"/>
          <w:color w:val="000000"/>
          <w:sz w:val="28"/>
        </w:rPr>
        <w:t>
      8. «План закупок» означает план закупoк Заемщика для Проекта от 16 февраля 2011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укатанных пунктов.</w:t>
      </w:r>
      <w:r>
        <w:br/>
      </w:r>
      <w:r>
        <w:rPr>
          <w:rFonts w:ascii="Times New Roman"/>
          <w:b w:val="false"/>
          <w:i w:val="false"/>
          <w:color w:val="000000"/>
          <w:sz w:val="28"/>
        </w:rPr>
        <w:t>
</w:t>
      </w:r>
      <w:r>
        <w:rPr>
          <w:rFonts w:ascii="Times New Roman"/>
          <w:b w:val="false"/>
          <w:i w:val="false"/>
          <w:color w:val="000000"/>
          <w:sz w:val="28"/>
        </w:rPr>
        <w:t>
      9. "Руководство по реализации Проекта" означает руководство, принятое Заемщиком в соответствии с подпунктом (с) пункта 4.01 статьи IV настоящего Соглашения, определяющее операционные и административные обязанности, процедуры и правила реализации Проекта, включая руководство по процедурам финансового управления, которое излагает процедуры учета, отчетности и аудита, расходов, движения средств и управления специальным счетом по Проекту, в которое периодически могут вноситься изменения по согласованию с Банком.</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