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193d" w14:textId="5d91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(Проект модернизации технического и профессионального образования)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Указ Президента Республики Казахстан от 3 ноября 2010 года № 1091</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Start w:name="z4"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займе (Проект модернизации технического и профессионального образования) между Республикой Казахстан и Международным Банком Реконструкции и Развития</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(Проект модернизации технического и профессионального образования) между Республикой Казахстан и Международным Банком Реконструкции и Развития.</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11"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 ноября 2010 года № 1091</w:t>
      </w:r>
    </w:p>
    <w:bookmarkEnd w:id="1"/>
    <w:p>
      <w:pPr>
        <w:spacing w:after="0"/>
        <w:ind w:left="0"/>
        <w:jc w:val="both"/>
      </w:pPr>
      <w:r>
        <w:rPr>
          <w:rFonts w:ascii="Times New Roman"/>
          <w:b w:val="false"/>
          <w:i w:val="false"/>
          <w:color w:val="000000"/>
          <w:sz w:val="28"/>
        </w:rPr>
        <w:t>                                                              Проект</w:t>
      </w:r>
    </w:p>
    <w:bookmarkStart w:name="z16" w:id="2"/>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(Проект модернизации технического и профессионального</w:t>
      </w:r>
      <w:r>
        <w:br/>
      </w:r>
      <w:r>
        <w:rPr>
          <w:rFonts w:ascii="Times New Roman"/>
          <w:b/>
          <w:i w:val="false"/>
          <w:color w:val="000000"/>
        </w:rPr>
        <w:t>
образования) между Республикой Казахстан и Международным Банком</w:t>
      </w:r>
      <w:r>
        <w:br/>
      </w:r>
      <w:r>
        <w:rPr>
          <w:rFonts w:ascii="Times New Roman"/>
          <w:b/>
          <w:i w:val="false"/>
          <w:color w:val="000000"/>
        </w:rPr>
        <w:t>
Реконструкции и Развития</w:t>
      </w:r>
    </w:p>
    <w:bookmarkEnd w:id="2"/>
    <w:bookmarkStart w:name="z20" w:id="3"/>
    <w:p>
      <w:pPr>
        <w:spacing w:after="0"/>
        <w:ind w:left="0"/>
        <w:jc w:val="both"/>
      </w:pPr>
      <w:r>
        <w:rPr>
          <w:rFonts w:ascii="Times New Roman"/>
          <w:b w:val="false"/>
          <w:i w:val="false"/>
          <w:color w:val="000000"/>
          <w:sz w:val="28"/>
        </w:rPr>
        <w:t>
      Соглашение от «__» _________ 201__ года между РЕСПУБЛИКОЙ КАЗАХСТАН (Заемщик) и МЕЖДУНАРОДНЫМ БАНКОМ РЕКОНСТРУКЦИИ И РАЗВИТИЯ (Банк). Настоящим Заемщик и Банк договариваются о следующем:</w:t>
      </w:r>
    </w:p>
    <w:bookmarkEnd w:id="3"/>
    <w:bookmarkStart w:name="z21" w:id="4"/>
    <w:p>
      <w:pPr>
        <w:spacing w:after="0"/>
        <w:ind w:left="0"/>
        <w:jc w:val="left"/>
      </w:pPr>
      <w:r>
        <w:rPr>
          <w:rFonts w:ascii="Times New Roman"/>
          <w:b/>
          <w:i w:val="false"/>
          <w:color w:val="000000"/>
        </w:rPr>
        <w:t xml:space="preserve"> 
СТАТЬЯ I — ОБЩИЕ УСЛОВИЯ; ОПРЕДЕЛЕНИЯ</w:t>
      </w:r>
    </w:p>
    <w:bookmarkEnd w:id="4"/>
    <w:bookmarkStart w:name="z22" w:id="5"/>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w:t>
      </w:r>
    </w:p>
    <w:bookmarkEnd w:id="5"/>
    <w:bookmarkStart w:name="z23" w:id="6"/>
    <w:p>
      <w:pPr>
        <w:spacing w:after="0"/>
        <w:ind w:left="0"/>
        <w:jc w:val="both"/>
      </w:pPr>
      <w:r>
        <w:rPr>
          <w:rFonts w:ascii="Times New Roman"/>
          <w:b w:val="false"/>
          <w:i w:val="false"/>
          <w:color w:val="000000"/>
          <w:sz w:val="28"/>
        </w:rPr>
        <w:t>
      1.02. Если из контекста не следует иного, термины, начинающиеся с заглавных букв, используемые в Соглашении о займе имеют значения, закрепленные за ними в Общих условиях или в Дополнении к настоящему Соглашению.</w:t>
      </w:r>
    </w:p>
    <w:bookmarkEnd w:id="6"/>
    <w:bookmarkStart w:name="z24" w:id="7"/>
    <w:p>
      <w:pPr>
        <w:spacing w:after="0"/>
        <w:ind w:left="0"/>
        <w:jc w:val="left"/>
      </w:pPr>
      <w:r>
        <w:rPr>
          <w:rFonts w:ascii="Times New Roman"/>
          <w:b/>
          <w:i w:val="false"/>
          <w:color w:val="000000"/>
        </w:rPr>
        <w:t xml:space="preserve"> 
СТАТЬЯ II — ЗАЕМ</w:t>
      </w:r>
    </w:p>
    <w:bookmarkEnd w:id="7"/>
    <w:bookmarkStart w:name="z25" w:id="8"/>
    <w:p>
      <w:pPr>
        <w:spacing w:after="0"/>
        <w:ind w:left="0"/>
        <w:jc w:val="both"/>
      </w:pPr>
      <w:r>
        <w:rPr>
          <w:rFonts w:ascii="Times New Roman"/>
          <w:b w:val="false"/>
          <w:i w:val="false"/>
          <w:color w:val="000000"/>
          <w:sz w:val="28"/>
        </w:rPr>
        <w:t>
      2.01. Банк согласен предоставить Заемщику сумму, равную двадцати девяти миллионам двумстам тридцати тысячам долларов США ($ 29,230,000) (Заем), на срок и условиях, изложенных или указанных в настоящем Соглашении, для поддержки финансирования проекта, описанного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(Проект).</w:t>
      </w:r>
    </w:p>
    <w:bookmarkEnd w:id="8"/>
    <w:bookmarkStart w:name="z26" w:id="9"/>
    <w:p>
      <w:pPr>
        <w:spacing w:after="0"/>
        <w:ind w:left="0"/>
        <w:jc w:val="both"/>
      </w:pPr>
      <w:r>
        <w:rPr>
          <w:rFonts w:ascii="Times New Roman"/>
          <w:b w:val="false"/>
          <w:i w:val="false"/>
          <w:color w:val="000000"/>
          <w:sz w:val="28"/>
        </w:rPr>
        <w:t>
      2.02. Заемщик вправе снимать средства Займа в соответствии с Разделом IV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w:t>
      </w:r>
    </w:p>
    <w:bookmarkEnd w:id="9"/>
    <w:bookmarkStart w:name="z27" w:id="10"/>
    <w:p>
      <w:pPr>
        <w:spacing w:after="0"/>
        <w:ind w:left="0"/>
        <w:jc w:val="both"/>
      </w:pPr>
      <w:r>
        <w:rPr>
          <w:rFonts w:ascii="Times New Roman"/>
          <w:b w:val="false"/>
          <w:i w:val="false"/>
          <w:color w:val="000000"/>
          <w:sz w:val="28"/>
        </w:rPr>
        <w:t>
      2.03. Заемщик уплачивает Банку комиссию за резервирование средств займа, равную четверти одного процента (0.25 %) от суммы Займа. Заемщик уплачивает комиссию не позднее, чем через 60 дней после даты вступления Соглашения о займе в силу.</w:t>
      </w:r>
    </w:p>
    <w:bookmarkEnd w:id="10"/>
    <w:bookmarkStart w:name="z28" w:id="11"/>
    <w:p>
      <w:pPr>
        <w:spacing w:after="0"/>
        <w:ind w:left="0"/>
        <w:jc w:val="both"/>
      </w:pPr>
      <w:r>
        <w:rPr>
          <w:rFonts w:ascii="Times New Roman"/>
          <w:b w:val="false"/>
          <w:i w:val="false"/>
          <w:color w:val="000000"/>
          <w:sz w:val="28"/>
        </w:rPr>
        <w:t>
      2.04. Заемщик уплачивает вознаграждение в течение каждого Процентного периода по ставке, равной ставке ЛИБОР для Валюты Займа плюс Переменный спрэд. Несмотря на вышесказанное, в случае, если любая из частей суммы снятых средств займа остается неуплаченной своевременно и не выплачивается в течение тридцати дней, то размер вознаграждения, подлежащего выплате Заемщиком, должен рассчитываться в соответствии с положениями Раздела 3.02 (d) Общих Условий.</w:t>
      </w:r>
    </w:p>
    <w:bookmarkEnd w:id="11"/>
    <w:bookmarkStart w:name="z29" w:id="12"/>
    <w:p>
      <w:pPr>
        <w:spacing w:after="0"/>
        <w:ind w:left="0"/>
        <w:jc w:val="both"/>
      </w:pPr>
      <w:r>
        <w:rPr>
          <w:rFonts w:ascii="Times New Roman"/>
          <w:b w:val="false"/>
          <w:i w:val="false"/>
          <w:color w:val="000000"/>
          <w:sz w:val="28"/>
        </w:rPr>
        <w:t>
      2.05. Даты Платежей 15 января и 15 июля каждого года.</w:t>
      </w:r>
    </w:p>
    <w:bookmarkEnd w:id="12"/>
    <w:bookmarkStart w:name="z30" w:id="13"/>
    <w:p>
      <w:pPr>
        <w:spacing w:after="0"/>
        <w:ind w:left="0"/>
        <w:jc w:val="both"/>
      </w:pPr>
      <w:r>
        <w:rPr>
          <w:rFonts w:ascii="Times New Roman"/>
          <w:b w:val="false"/>
          <w:i w:val="false"/>
          <w:color w:val="000000"/>
          <w:sz w:val="28"/>
        </w:rPr>
        <w:t>
      2.06. Заемщик погашает основную сумму Займа в соответствии с графиком погашения,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w:t>
      </w:r>
    </w:p>
    <w:bookmarkEnd w:id="13"/>
    <w:bookmarkStart w:name="z31" w:id="14"/>
    <w:p>
      <w:pPr>
        <w:spacing w:after="0"/>
        <w:ind w:left="0"/>
        <w:jc w:val="left"/>
      </w:pPr>
      <w:r>
        <w:rPr>
          <w:rFonts w:ascii="Times New Roman"/>
          <w:b/>
          <w:i w:val="false"/>
          <w:color w:val="000000"/>
        </w:rPr>
        <w:t xml:space="preserve"> 
СТАТЬЯ III — ПРОЕКТ</w:t>
      </w:r>
    </w:p>
    <w:bookmarkEnd w:id="14"/>
    <w:bookmarkStart w:name="z32" w:id="15"/>
    <w:p>
      <w:pPr>
        <w:spacing w:after="0"/>
        <w:ind w:left="0"/>
        <w:jc w:val="both"/>
      </w:pPr>
      <w:r>
        <w:rPr>
          <w:rFonts w:ascii="Times New Roman"/>
          <w:b w:val="false"/>
          <w:i w:val="false"/>
          <w:color w:val="000000"/>
          <w:sz w:val="28"/>
        </w:rPr>
        <w:t>
      3.01. Заемщик заявляет о своей приверженности целям Проекта и с этой целью осуществляет Проект через МОН РК в соответствии с положениями Статьи V Общих Условий.</w:t>
      </w:r>
    </w:p>
    <w:bookmarkEnd w:id="15"/>
    <w:bookmarkStart w:name="z33" w:id="16"/>
    <w:p>
      <w:pPr>
        <w:spacing w:after="0"/>
        <w:ind w:left="0"/>
        <w:jc w:val="both"/>
      </w:pPr>
      <w:r>
        <w:rPr>
          <w:rFonts w:ascii="Times New Roman"/>
          <w:b w:val="false"/>
          <w:i w:val="false"/>
          <w:color w:val="000000"/>
          <w:sz w:val="28"/>
        </w:rPr>
        <w:t>
      3.02. Без ограничения для положений раздела 3.01 настоящего Соглашения и, если иное не согласовано между Банком и Заемщиком, Заемщик обеспечивает реализацию Проекта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w:t>
      </w:r>
    </w:p>
    <w:bookmarkEnd w:id="16"/>
    <w:bookmarkStart w:name="z34" w:id="17"/>
    <w:p>
      <w:pPr>
        <w:spacing w:after="0"/>
        <w:ind w:left="0"/>
        <w:jc w:val="left"/>
      </w:pPr>
      <w:r>
        <w:rPr>
          <w:rFonts w:ascii="Times New Roman"/>
          <w:b/>
          <w:i w:val="false"/>
          <w:color w:val="000000"/>
        </w:rPr>
        <w:t xml:space="preserve"> 
СТАТЬЯ IV — ВСТУПЛЕНИЕ ЗАЙМА В СИЛУ;</w:t>
      </w:r>
      <w:r>
        <w:br/>
      </w:r>
      <w:r>
        <w:rPr>
          <w:rFonts w:ascii="Times New Roman"/>
          <w:b/>
          <w:i w:val="false"/>
          <w:color w:val="000000"/>
        </w:rPr>
        <w:t>
РАСТОРЖЕНИЕ</w:t>
      </w:r>
    </w:p>
    <w:bookmarkEnd w:id="17"/>
    <w:bookmarkStart w:name="z36" w:id="18"/>
    <w:p>
      <w:pPr>
        <w:spacing w:after="0"/>
        <w:ind w:left="0"/>
        <w:jc w:val="both"/>
      </w:pPr>
      <w:r>
        <w:rPr>
          <w:rFonts w:ascii="Times New Roman"/>
          <w:b w:val="false"/>
          <w:i w:val="false"/>
          <w:color w:val="000000"/>
          <w:sz w:val="28"/>
        </w:rPr>
        <w:t>
      4.01. Дополнительные условия вступления займа в силу заключаются в следующем:</w:t>
      </w:r>
    </w:p>
    <w:bookmarkEnd w:id="18"/>
    <w:bookmarkStart w:name="z37" w:id="19"/>
    <w:p>
      <w:pPr>
        <w:spacing w:after="0"/>
        <w:ind w:left="0"/>
        <w:jc w:val="both"/>
      </w:pPr>
      <w:r>
        <w:rPr>
          <w:rFonts w:ascii="Times New Roman"/>
          <w:b w:val="false"/>
          <w:i w:val="false"/>
          <w:color w:val="000000"/>
          <w:sz w:val="28"/>
        </w:rPr>
        <w:t>
      (а) ГУП создана Заемщиком через МОН РК, состав, ресурсы и технические задания которой являются приемлемыми для Банка.</w:t>
      </w:r>
    </w:p>
    <w:bookmarkEnd w:id="19"/>
    <w:bookmarkStart w:name="z38" w:id="20"/>
    <w:p>
      <w:pPr>
        <w:spacing w:after="0"/>
        <w:ind w:left="0"/>
        <w:jc w:val="both"/>
      </w:pPr>
      <w:r>
        <w:rPr>
          <w:rFonts w:ascii="Times New Roman"/>
          <w:b w:val="false"/>
          <w:i w:val="false"/>
          <w:color w:val="000000"/>
          <w:sz w:val="28"/>
        </w:rPr>
        <w:t>
      (b) Консультативный Совет был создан Заемщиком состав, ресурсы и технические задания которого являются приемлемыми для Банка.</w:t>
      </w:r>
    </w:p>
    <w:bookmarkEnd w:id="20"/>
    <w:bookmarkStart w:name="z39" w:id="21"/>
    <w:p>
      <w:pPr>
        <w:spacing w:after="0"/>
        <w:ind w:left="0"/>
        <w:jc w:val="both"/>
      </w:pPr>
      <w:r>
        <w:rPr>
          <w:rFonts w:ascii="Times New Roman"/>
          <w:b w:val="false"/>
          <w:i w:val="false"/>
          <w:color w:val="000000"/>
          <w:sz w:val="28"/>
        </w:rPr>
        <w:t>
      (c) Операционное руководство Проекта, приемлемое для Банка, было утверждено Заемщиком.</w:t>
      </w:r>
    </w:p>
    <w:bookmarkEnd w:id="21"/>
    <w:bookmarkStart w:name="z40" w:id="22"/>
    <w:p>
      <w:pPr>
        <w:spacing w:after="0"/>
        <w:ind w:left="0"/>
        <w:jc w:val="both"/>
      </w:pPr>
      <w:r>
        <w:rPr>
          <w:rFonts w:ascii="Times New Roman"/>
          <w:b w:val="false"/>
          <w:i w:val="false"/>
          <w:color w:val="000000"/>
          <w:sz w:val="28"/>
        </w:rPr>
        <w:t>
      4.02. Последним сроком вступления в силу является дата, наступающая по истечении ста восьмидесяти (180) дней после даты настоящего Соглашения.</w:t>
      </w:r>
    </w:p>
    <w:bookmarkEnd w:id="22"/>
    <w:bookmarkStart w:name="z41" w:id="23"/>
    <w:p>
      <w:pPr>
        <w:spacing w:after="0"/>
        <w:ind w:left="0"/>
        <w:jc w:val="left"/>
      </w:pPr>
      <w:r>
        <w:rPr>
          <w:rFonts w:ascii="Times New Roman"/>
          <w:b/>
          <w:i w:val="false"/>
          <w:color w:val="000000"/>
        </w:rPr>
        <w:t xml:space="preserve"> 
СТАТЬЯ V — ПРЕДСТАВИТЕЛЬ ЗАЕМЩИКА; АДРЕСА</w:t>
      </w:r>
    </w:p>
    <w:bookmarkEnd w:id="23"/>
    <w:bookmarkStart w:name="z42" w:id="24"/>
    <w:p>
      <w:pPr>
        <w:spacing w:after="0"/>
        <w:ind w:left="0"/>
        <w:jc w:val="both"/>
      </w:pPr>
      <w:r>
        <w:rPr>
          <w:rFonts w:ascii="Times New Roman"/>
          <w:b w:val="false"/>
          <w:i w:val="false"/>
          <w:color w:val="000000"/>
          <w:sz w:val="28"/>
        </w:rPr>
        <w:t>
      5.01. Представителем заемщика является Министр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5.02. Адрес Заемщика:</w:t>
      </w:r>
    </w:p>
    <w:bookmarkEnd w:id="24"/>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7-7172-717785</w:t>
      </w:r>
    </w:p>
    <w:bookmarkStart w:name="z50" w:id="25"/>
    <w:p>
      <w:pPr>
        <w:spacing w:after="0"/>
        <w:ind w:left="0"/>
        <w:jc w:val="both"/>
      </w:pPr>
      <w:r>
        <w:rPr>
          <w:rFonts w:ascii="Times New Roman"/>
          <w:b w:val="false"/>
          <w:i w:val="false"/>
          <w:color w:val="000000"/>
          <w:sz w:val="28"/>
        </w:rPr>
        <w:t>
      5.03. Адрес Банка:</w:t>
      </w:r>
    </w:p>
    <w:bookmarkEnd w:id="25"/>
    <w:p>
      <w:pPr>
        <w:spacing w:after="0"/>
        <w:ind w:left="0"/>
        <w:jc w:val="both"/>
      </w:pP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1818 Н Street, N.W.</w:t>
      </w:r>
      <w:r>
        <w:br/>
      </w:r>
      <w:r>
        <w:rPr>
          <w:rFonts w:ascii="Times New Roman"/>
          <w:b w:val="false"/>
          <w:i w:val="false"/>
          <w:color w:val="000000"/>
          <w:sz w:val="28"/>
        </w:rPr>
        <w:t>
      Вашингтон, O.K. 20433</w:t>
      </w:r>
      <w:r>
        <w:br/>
      </w:r>
      <w:r>
        <w:rPr>
          <w:rFonts w:ascii="Times New Roman"/>
          <w:b w:val="false"/>
          <w:i w:val="false"/>
          <w:color w:val="000000"/>
          <w:sz w:val="28"/>
        </w:rPr>
        <w:t>
      США</w:t>
      </w:r>
    </w:p>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248423(MCI) or   1-202-477-6391</w:t>
      </w:r>
      <w:r>
        <w:br/>
      </w:r>
      <w:r>
        <w:rPr>
          <w:rFonts w:ascii="Times New Roman"/>
          <w:b w:val="false"/>
          <w:i w:val="false"/>
          <w:color w:val="000000"/>
          <w:sz w:val="28"/>
        </w:rPr>
        <w:t>
      Вашингтон, O.K. 64145(MCI)</w:t>
      </w:r>
    </w:p>
    <w:p>
      <w:pPr>
        <w:spacing w:after="0"/>
        <w:ind w:left="0"/>
        <w:jc w:val="both"/>
      </w:pPr>
      <w:r>
        <w:rPr>
          <w:rFonts w:ascii="Times New Roman"/>
          <w:b w:val="false"/>
          <w:i w:val="false"/>
          <w:color w:val="000000"/>
          <w:sz w:val="28"/>
        </w:rPr>
        <w:t>СОГЛАСОВАНО _______________, __________, в день и год,</w:t>
      </w:r>
      <w:r>
        <w:br/>
      </w:r>
      <w:r>
        <w:rPr>
          <w:rFonts w:ascii="Times New Roman"/>
          <w:b w:val="false"/>
          <w:i w:val="false"/>
          <w:color w:val="000000"/>
          <w:sz w:val="28"/>
        </w:rPr>
        <w:t>
указанные выше.</w:t>
      </w:r>
    </w:p>
    <w:p>
      <w:pPr>
        <w:spacing w:after="0"/>
        <w:ind w:left="0"/>
        <w:jc w:val="both"/>
      </w:pPr>
      <w:r>
        <w:rPr>
          <w:rFonts w:ascii="Times New Roman"/>
          <w:b w:val="false"/>
          <w:i w:val="false"/>
          <w:color w:val="000000"/>
          <w:sz w:val="28"/>
        </w:rPr>
        <w:t>                    ЗА РЕСПУБЛИКУ КАЗАХСТАН</w:t>
      </w:r>
    </w:p>
    <w:p>
      <w:pPr>
        <w:spacing w:after="0"/>
        <w:ind w:left="0"/>
        <w:jc w:val="both"/>
      </w:pP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ЗА МЕЖДУНАРОДНЫЙ БАНК</w:t>
      </w:r>
      <w:r>
        <w:br/>
      </w:r>
      <w:r>
        <w:rPr>
          <w:rFonts w:ascii="Times New Roman"/>
          <w:b w:val="false"/>
          <w:i w:val="false"/>
          <w:color w:val="000000"/>
          <w:sz w:val="28"/>
        </w:rPr>
        <w:t>
                   РЕКОНСТРУКЦИИ И РАЗВИТИЯ</w:t>
      </w:r>
    </w:p>
    <w:p>
      <w:pPr>
        <w:spacing w:after="0"/>
        <w:ind w:left="0"/>
        <w:jc w:val="both"/>
      </w:pPr>
      <w:r>
        <w:rPr>
          <w:rFonts w:ascii="Times New Roman"/>
          <w:b w:val="false"/>
          <w:i w:val="false"/>
          <w:color w:val="000000"/>
          <w:sz w:val="28"/>
        </w:rPr>
        <w:t>                 Уполномоченный представитель</w:t>
      </w:r>
    </w:p>
    <w:bookmarkStart w:name="z65" w:id="26"/>
    <w:p>
      <w:pPr>
        <w:spacing w:after="0"/>
        <w:ind w:left="0"/>
        <w:jc w:val="left"/>
      </w:pPr>
      <w:r>
        <w:rPr>
          <w:rFonts w:ascii="Times New Roman"/>
          <w:b/>
          <w:i w:val="false"/>
          <w:color w:val="000000"/>
        </w:rPr>
        <w:t xml:space="preserve"> 
ПРИЛОЖЕНИЕ 1</w:t>
      </w:r>
    </w:p>
    <w:bookmarkEnd w:id="26"/>
    <w:bookmarkStart w:name="z66" w:id="27"/>
    <w:p>
      <w:pPr>
        <w:spacing w:after="0"/>
        <w:ind w:left="0"/>
        <w:jc w:val="left"/>
      </w:pPr>
      <w:r>
        <w:rPr>
          <w:rFonts w:ascii="Times New Roman"/>
          <w:b/>
          <w:i w:val="false"/>
          <w:color w:val="000000"/>
        </w:rPr>
        <w:t xml:space="preserve"> 
Описание Проекта</w:t>
      </w:r>
    </w:p>
    <w:bookmarkEnd w:id="27"/>
    <w:bookmarkStart w:name="z67" w:id="28"/>
    <w:p>
      <w:pPr>
        <w:spacing w:after="0"/>
        <w:ind w:left="0"/>
        <w:jc w:val="both"/>
      </w:pPr>
      <w:r>
        <w:rPr>
          <w:rFonts w:ascii="Times New Roman"/>
          <w:b w:val="false"/>
          <w:i w:val="false"/>
          <w:color w:val="000000"/>
          <w:sz w:val="28"/>
        </w:rPr>
        <w:t>
      Целью Проекта является повышение актуальности, качества и эффективности технического и профессионального образования (ТиПО) путем совершенствования политических механизмов и институционального потенциала.</w:t>
      </w:r>
    </w:p>
    <w:bookmarkEnd w:id="28"/>
    <w:bookmarkStart w:name="z68" w:id="29"/>
    <w:p>
      <w:pPr>
        <w:spacing w:after="0"/>
        <w:ind w:left="0"/>
        <w:jc w:val="both"/>
      </w:pPr>
      <w:r>
        <w:rPr>
          <w:rFonts w:ascii="Times New Roman"/>
          <w:b w:val="false"/>
          <w:i w:val="false"/>
          <w:color w:val="000000"/>
          <w:sz w:val="28"/>
        </w:rPr>
        <w:t>
      Проект состоит из следующих компонентов:</w:t>
      </w:r>
    </w:p>
    <w:bookmarkEnd w:id="29"/>
    <w:bookmarkStart w:name="z69"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1: Профессиональные стандарты и оценка технического и профессионального образования</w:t>
      </w:r>
    </w:p>
    <w:bookmarkEnd w:id="30"/>
    <w:bookmarkStart w:name="z70" w:id="31"/>
    <w:p>
      <w:pPr>
        <w:spacing w:after="0"/>
        <w:ind w:left="0"/>
        <w:jc w:val="both"/>
      </w:pPr>
      <w:r>
        <w:rPr>
          <w:rFonts w:ascii="Times New Roman"/>
          <w:b w:val="false"/>
          <w:i w:val="false"/>
          <w:color w:val="000000"/>
          <w:sz w:val="28"/>
        </w:rPr>
        <w:t>
      Предоставление товаров, консультационных услуг и обучения для следующих целей: (а) создание национальной квалификационной системы и национальной квалификационной рамки; (b) разработка профессиональных стандартов и пересмотр системы оценки квалификаций; (с) разработка и внедрение методов и процедур для независимой институциональной аккредитации.</w:t>
      </w:r>
    </w:p>
    <w:bookmarkEnd w:id="31"/>
    <w:bookmarkStart w:name="z71" w:id="32"/>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2: Модернизация управления и финансирования технического и профессионального образования</w:t>
      </w:r>
    </w:p>
    <w:bookmarkEnd w:id="32"/>
    <w:bookmarkStart w:name="z72" w:id="33"/>
    <w:p>
      <w:pPr>
        <w:spacing w:after="0"/>
        <w:ind w:left="0"/>
        <w:jc w:val="both"/>
      </w:pPr>
      <w:r>
        <w:rPr>
          <w:rFonts w:ascii="Times New Roman"/>
          <w:b w:val="false"/>
          <w:i w:val="false"/>
          <w:color w:val="000000"/>
          <w:sz w:val="28"/>
        </w:rPr>
        <w:t>
      Предоставление товаров, консультационных услуг, обучения и финансирование дополнительных операционных расходов для следующих целей: (а) модернизация политических механизмов в области руководства и системы управления, а также процедур и институциональных структур системы ТиПО; (b) внедрение системы подушевого финансирования учреждений ТиПО в выбранных областях; (с) создание и внедрение эффективного механизма мониторинга и оценки ТиПО; (d) поддержка процесса координации, реализации и управления Проектом.</w:t>
      </w:r>
    </w:p>
    <w:bookmarkEnd w:id="33"/>
    <w:bookmarkStart w:name="z73" w:id="34"/>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3: Усиление потенциала учебных заведений технического и профессионального образования</w:t>
      </w:r>
    </w:p>
    <w:bookmarkEnd w:id="34"/>
    <w:bookmarkStart w:name="z74" w:id="35"/>
    <w:p>
      <w:pPr>
        <w:spacing w:after="0"/>
        <w:ind w:left="0"/>
        <w:jc w:val="both"/>
      </w:pPr>
      <w:r>
        <w:rPr>
          <w:rFonts w:ascii="Times New Roman"/>
          <w:b w:val="false"/>
          <w:i w:val="false"/>
          <w:color w:val="000000"/>
          <w:sz w:val="28"/>
        </w:rPr>
        <w:t>
      (а) Предоставление товаров и консультационных услуг в целях разработки образовательных стандартов и типовых учебных программ, основанных на компетенциях на государственном уровне; (b) предоставление под-грантов бенефициарам для реализации под-проектов для разработки программ обучения преподавателей на рабочем месте для внедрения модульных программ, основанных на компетенциях, в отобранных региональных центрах подготовки учителей; и (с) предоставление под-грантов бенефициарам для осуществления под-проектов по разработке и реализации Планов институционального развития (ПИР).</w:t>
      </w:r>
    </w:p>
    <w:bookmarkEnd w:id="35"/>
    <w:bookmarkStart w:name="z75" w:id="36"/>
    <w:p>
      <w:pPr>
        <w:spacing w:after="0"/>
        <w:ind w:left="0"/>
        <w:jc w:val="left"/>
      </w:pPr>
      <w:r>
        <w:rPr>
          <w:rFonts w:ascii="Times New Roman"/>
          <w:b/>
          <w:i w:val="false"/>
          <w:color w:val="000000"/>
        </w:rPr>
        <w:t xml:space="preserve"> 
ПРИЛОЖЕНИЕ 2</w:t>
      </w:r>
    </w:p>
    <w:bookmarkEnd w:id="36"/>
    <w:bookmarkStart w:name="z76" w:id="37"/>
    <w:p>
      <w:pPr>
        <w:spacing w:after="0"/>
        <w:ind w:left="0"/>
        <w:jc w:val="left"/>
      </w:pPr>
      <w:r>
        <w:rPr>
          <w:rFonts w:ascii="Times New Roman"/>
          <w:b/>
          <w:i w:val="false"/>
          <w:color w:val="000000"/>
        </w:rPr>
        <w:t xml:space="preserve"> 
Исполнение Проекта</w:t>
      </w:r>
    </w:p>
    <w:bookmarkEnd w:id="37"/>
    <w:bookmarkStart w:name="z77" w:id="38"/>
    <w:p>
      <w:pPr>
        <w:spacing w:after="0"/>
        <w:ind w:left="0"/>
        <w:jc w:val="both"/>
      </w:pPr>
      <w:r>
        <w:rPr>
          <w:rFonts w:ascii="Times New Roman"/>
          <w:b w:val="false"/>
          <w:i w:val="false"/>
          <w:color w:val="000000"/>
          <w:sz w:val="28"/>
        </w:rPr>
        <w:t>
      </w:t>
      </w:r>
      <w:r>
        <w:rPr>
          <w:rFonts w:ascii="Times New Roman"/>
          <w:b/>
          <w:i w:val="false"/>
          <w:color w:val="000000"/>
          <w:sz w:val="28"/>
        </w:rPr>
        <w:t>Раздел I. Механизмы реализации</w:t>
      </w:r>
    </w:p>
    <w:bookmarkEnd w:id="38"/>
    <w:bookmarkStart w:name="z79" w:id="39"/>
    <w:p>
      <w:pPr>
        <w:spacing w:after="0"/>
        <w:ind w:left="0"/>
        <w:jc w:val="both"/>
      </w:pPr>
      <w:r>
        <w:rPr>
          <w:rFonts w:ascii="Times New Roman"/>
          <w:b w:val="false"/>
          <w:i w:val="false"/>
          <w:color w:val="000000"/>
          <w:sz w:val="28"/>
        </w:rPr>
        <w:t>
      </w:t>
      </w:r>
      <w:r>
        <w:rPr>
          <w:rFonts w:ascii="Times New Roman"/>
          <w:b/>
          <w:i w:val="false"/>
          <w:color w:val="000000"/>
          <w:sz w:val="28"/>
        </w:rPr>
        <w:t>A. Институциональные механизмы</w:t>
      </w:r>
    </w:p>
    <w:bookmarkEnd w:id="39"/>
    <w:bookmarkStart w:name="z81" w:id="40"/>
    <w:p>
      <w:pPr>
        <w:spacing w:after="0"/>
        <w:ind w:left="0"/>
        <w:jc w:val="both"/>
      </w:pPr>
      <w:r>
        <w:rPr>
          <w:rFonts w:ascii="Times New Roman"/>
          <w:b w:val="false"/>
          <w:i w:val="false"/>
          <w:color w:val="000000"/>
          <w:sz w:val="28"/>
        </w:rPr>
        <w:t>
      Заемщик должен реализовывать Проект в соответствии со следующими институциональными и другими договоренностями:</w:t>
      </w:r>
    </w:p>
    <w:bookmarkEnd w:id="40"/>
    <w:bookmarkStart w:name="z82" w:id="41"/>
    <w:p>
      <w:pPr>
        <w:spacing w:after="0"/>
        <w:ind w:left="0"/>
        <w:jc w:val="both"/>
      </w:pPr>
      <w:r>
        <w:rPr>
          <w:rFonts w:ascii="Times New Roman"/>
          <w:b w:val="false"/>
          <w:i w:val="false"/>
          <w:color w:val="000000"/>
          <w:sz w:val="28"/>
        </w:rPr>
        <w:t>
      1. Координационный Комитет Проекта (ККП) будет нести общую ответственность за надзор над Проектом и стратегическое руководство в соответствии с требованиями, критериями, организационными механизмами и операционными процедурами, указанными в Операционном руководстве Проекта (ОРП).</w:t>
      </w:r>
    </w:p>
    <w:bookmarkEnd w:id="41"/>
    <w:bookmarkStart w:name="z83" w:id="42"/>
    <w:p>
      <w:pPr>
        <w:spacing w:after="0"/>
        <w:ind w:left="0"/>
        <w:jc w:val="both"/>
      </w:pPr>
      <w:r>
        <w:rPr>
          <w:rFonts w:ascii="Times New Roman"/>
          <w:b w:val="false"/>
          <w:i w:val="false"/>
          <w:color w:val="000000"/>
          <w:sz w:val="28"/>
        </w:rPr>
        <w:t>
      2. Заемщик, через МОН РК, при экспертной поддержке Консультативного Совета Проекта (КСП) должен реализовывать Проект, в соответствии с требованиями, критериями, организационными механизмами и операционными процедурами, указанными в Операционном руководстве Проекта и Стратегии управления окружающей средой (СУОС), и не должен передавать, вносить изменения, отменять или отказываться от каких-либо положений Операционного руководства Проекта или СУОС без предварительного одобрения Банком.</w:t>
      </w:r>
    </w:p>
    <w:bookmarkEnd w:id="42"/>
    <w:bookmarkStart w:name="z84" w:id="43"/>
    <w:p>
      <w:pPr>
        <w:spacing w:after="0"/>
        <w:ind w:left="0"/>
        <w:jc w:val="both"/>
      </w:pPr>
      <w:r>
        <w:rPr>
          <w:rFonts w:ascii="Times New Roman"/>
          <w:b w:val="false"/>
          <w:i w:val="false"/>
          <w:color w:val="000000"/>
          <w:sz w:val="28"/>
        </w:rPr>
        <w:t>
      3. В течение всей реализации Проекта, Заемщик должен обеспечивать функционирование Координационного Комитета Проекта, Группы Управления Проектом и Консультативного Совета Проекта, состав, ресурсы и технические задания которых являются удовлетворительными для Банка.</w:t>
      </w:r>
    </w:p>
    <w:bookmarkEnd w:id="43"/>
    <w:bookmarkStart w:name="z85" w:id="44"/>
    <w:p>
      <w:pPr>
        <w:spacing w:after="0"/>
        <w:ind w:left="0"/>
        <w:jc w:val="both"/>
      </w:pPr>
      <w:r>
        <w:rPr>
          <w:rFonts w:ascii="Times New Roman"/>
          <w:b w:val="false"/>
          <w:i w:val="false"/>
          <w:color w:val="000000"/>
          <w:sz w:val="28"/>
        </w:rPr>
        <w:t>
      4. Не позднее, чем через тридцать (30) дней после Даты вступления займа в силу заемщик через МОН РК осуществит обновление системы бухгалтерского учета ГУП в форме, приемлемой для Банка.</w:t>
      </w:r>
    </w:p>
    <w:bookmarkEnd w:id="44"/>
    <w:bookmarkStart w:name="z86" w:id="45"/>
    <w:p>
      <w:pPr>
        <w:spacing w:after="0"/>
        <w:ind w:left="0"/>
        <w:jc w:val="both"/>
      </w:pPr>
      <w:r>
        <w:rPr>
          <w:rFonts w:ascii="Times New Roman"/>
          <w:b w:val="false"/>
          <w:i w:val="false"/>
          <w:color w:val="000000"/>
          <w:sz w:val="28"/>
        </w:rPr>
        <w:t>
      </w:t>
      </w:r>
      <w:r>
        <w:rPr>
          <w:rFonts w:ascii="Times New Roman"/>
          <w:b/>
          <w:i w:val="false"/>
          <w:color w:val="000000"/>
          <w:sz w:val="28"/>
        </w:rPr>
        <w:t>B. Антикоррупционные меры</w:t>
      </w:r>
    </w:p>
    <w:bookmarkEnd w:id="45"/>
    <w:bookmarkStart w:name="z88" w:id="46"/>
    <w:p>
      <w:pPr>
        <w:spacing w:after="0"/>
        <w:ind w:left="0"/>
        <w:jc w:val="both"/>
      </w:pPr>
      <w:r>
        <w:rPr>
          <w:rFonts w:ascii="Times New Roman"/>
          <w:b w:val="false"/>
          <w:i w:val="false"/>
          <w:color w:val="000000"/>
          <w:sz w:val="28"/>
        </w:rPr>
        <w:t>
      Заемщик обеспечит реализацию Проекта в соответствии с положениями Руководства Банка по противодействию коррупции.</w:t>
      </w:r>
    </w:p>
    <w:bookmarkEnd w:id="46"/>
    <w:bookmarkStart w:name="z89" w:id="47"/>
    <w:p>
      <w:pPr>
        <w:spacing w:after="0"/>
        <w:ind w:left="0"/>
        <w:jc w:val="both"/>
      </w:pPr>
      <w:r>
        <w:rPr>
          <w:rFonts w:ascii="Times New Roman"/>
          <w:b w:val="false"/>
          <w:i w:val="false"/>
          <w:color w:val="000000"/>
          <w:sz w:val="28"/>
        </w:rPr>
        <w:t>
      </w:t>
      </w:r>
      <w:r>
        <w:rPr>
          <w:rFonts w:ascii="Times New Roman"/>
          <w:b/>
          <w:i w:val="false"/>
          <w:color w:val="000000"/>
          <w:sz w:val="28"/>
        </w:rPr>
        <w:t>С. Под-проекты</w:t>
      </w:r>
    </w:p>
    <w:bookmarkEnd w:id="47"/>
    <w:bookmarkStart w:name="z91" w:id="48"/>
    <w:p>
      <w:pPr>
        <w:spacing w:after="0"/>
        <w:ind w:left="0"/>
        <w:jc w:val="both"/>
      </w:pPr>
      <w:r>
        <w:rPr>
          <w:rFonts w:ascii="Times New Roman"/>
          <w:b w:val="false"/>
          <w:i w:val="false"/>
          <w:color w:val="000000"/>
          <w:sz w:val="28"/>
        </w:rPr>
        <w:t>
      1. В целях исполнения компонентов 3 (b) и 3 (с) Проекта Заемщик через МОН РК предоставляет под-гранты бенефициарам в соответствие с критериями отбора и процедурами, обусловленными в Операционном руководстве Проекта, которое включает следующее: (а) Предложения по под-проектам будут отобраны, реализованы и оценены в соответствие с принципами и процедурами, обусловленными в Операционном руководстве Проекта, Руководстве по закупкам, Руководстве по найму консультантов, Руководстве по противодействию коррупции и СУОС; и (b) обеспечить то, чтобы критерии отбора под-проектов запрещали приобретение земли или Переселение.</w:t>
      </w:r>
    </w:p>
    <w:bookmarkEnd w:id="48"/>
    <w:bookmarkStart w:name="z92" w:id="49"/>
    <w:p>
      <w:pPr>
        <w:spacing w:after="0"/>
        <w:ind w:left="0"/>
        <w:jc w:val="both"/>
      </w:pPr>
      <w:r>
        <w:rPr>
          <w:rFonts w:ascii="Times New Roman"/>
          <w:b w:val="false"/>
          <w:i w:val="false"/>
          <w:color w:val="000000"/>
          <w:sz w:val="28"/>
        </w:rPr>
        <w:t>
      2. Заемщик через МОН РК предоставляет каждый Под-грант каждому Бенефициару в рамках Соглашения о под-гранте на условиях, одобренных Банком, которые должны включать следующее:</w:t>
      </w:r>
    </w:p>
    <w:bookmarkEnd w:id="49"/>
    <w:bookmarkStart w:name="z93" w:id="50"/>
    <w:p>
      <w:pPr>
        <w:spacing w:after="0"/>
        <w:ind w:left="0"/>
        <w:jc w:val="both"/>
      </w:pPr>
      <w:r>
        <w:rPr>
          <w:rFonts w:ascii="Times New Roman"/>
          <w:b w:val="false"/>
          <w:i w:val="false"/>
          <w:color w:val="000000"/>
          <w:sz w:val="28"/>
        </w:rPr>
        <w:t>
      (а) Под-гранты будут деноминированы в Тенге или Долларах США; и</w:t>
      </w:r>
    </w:p>
    <w:bookmarkEnd w:id="50"/>
    <w:bookmarkStart w:name="z94" w:id="51"/>
    <w:p>
      <w:pPr>
        <w:spacing w:after="0"/>
        <w:ind w:left="0"/>
        <w:jc w:val="both"/>
      </w:pPr>
      <w:r>
        <w:rPr>
          <w:rFonts w:ascii="Times New Roman"/>
          <w:b w:val="false"/>
          <w:i w:val="false"/>
          <w:color w:val="000000"/>
          <w:sz w:val="28"/>
        </w:rPr>
        <w:t>
      (b) Заемщик получит надлежащие права для защиты своих и интересов Банка, включая право на: (i) приостанавливать или отменять право Бенефициара на использование средств под-гранта, либо запрос возмещения всей или части суммы под-гранта, в случае неисполнения Бенефициаром каких-либо обязанностей в рамках Соглашения о под-гранте; и (ii) требовать от каждого Бенефициара: (A)(1) надлежаще и эффективно реализовывать свой под-проект в соответствие с должными техническими, экономическими, финансовыми, управленческими, экологическими и социальными стандартами и практикой, приемлемыми для Банка, включая положения Руководства по противодействию коррупции, распространяющимся на получателей заемных средств, помимо Заемщика; (2) запретить работы по ремонту и/или восстановлению действующих объектов; и (3) для под-проектов, которые требуют План управления окружающей средой (ПУОС) или которые требуют ПУОС и Оценку воздействия на окружающую среду (ОВОС) для конкретного участка работ, как указано в ПУОС и ОРП, своевременно составить необходимый ПУОС или ПУОС и Оценку воздействия на окружающую среду (ОВОС) для конкретного участка работ в целях соблюдения экологических стандартов, приемлемых для Банка, которые будут включать надлежащую информацию по реализации соответствующих ПУОС и ОВОС для конкретного участка работ в отчетах о ходе реализации, указанных в Разделе II.А. настоящего Приложения 2; (В) своевременно предоставлять ресурсы, требуемые для конкретной цели; (С) закупать товары, работы и услуги, финансируемые из средств под-грант, в соответствие с положениями настоящего Соглашения; (D) устанавливать должные правила и процедуры, позволяющие осуществлять мониторинг и оценку в соответствие с показателями, приемлемыми для Банка, хода реализации под-проекта и достижение его целей; (Е) (1) поддерживать систему финансового управления и подготавливать финансовые отчеты в соответствие с последовательно применяемыми стандартами бухучета, приемлемыми для Банка, которые надлежащим образом отражают операции, ресурсы и расходы в рамках под-проекта; и (2) по требованию Банка или Заемщика осуществлять независимый аудит данных финансовых отчетов, приемлемый для Банка, и своевременно предоставлять отчеты, прошедшие аудит, Заемщику и Банку; (F) позволить Заемщику или Банку проводить проверку под-проекта, хода его реализации, а также любых записей или документов; и (G) подготовить и предоставить Заемщику и Банку всю обоснованно запрошенную информацию касательно вышеизложенного.</w:t>
      </w:r>
    </w:p>
    <w:bookmarkEnd w:id="51"/>
    <w:bookmarkStart w:name="z95" w:id="52"/>
    <w:p>
      <w:pPr>
        <w:spacing w:after="0"/>
        <w:ind w:left="0"/>
        <w:jc w:val="both"/>
      </w:pPr>
      <w:r>
        <w:rPr>
          <w:rFonts w:ascii="Times New Roman"/>
          <w:b w:val="false"/>
          <w:i w:val="false"/>
          <w:color w:val="000000"/>
          <w:sz w:val="28"/>
        </w:rPr>
        <w:t>
      3. Заемщик осуществляет свои права в рамках каждого Соглашения о под-гранте таким образом, чтобы защитить интересы Заемщика и Банка, а также достичь целей Займа. За исключением случаев, когда Банк дает согласие на иное, Заемщик не должен передавать, вносить изменения, отменять или отказываться от какого-либо Соглашения о под-гранте или каких-либо его положений.</w:t>
      </w:r>
    </w:p>
    <w:bookmarkEnd w:id="52"/>
    <w:bookmarkStart w:name="z96" w:id="5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rPr>
          <w:rFonts w:ascii="Times New Roman"/>
          <w:b w:val="false"/>
          <w:i w:val="false"/>
          <w:color w:val="000000"/>
          <w:sz w:val="28"/>
          <w:u w:val="single"/>
        </w:rPr>
        <w:t>Отчетность по мониторингу и оценка Проекта</w:t>
      </w:r>
    </w:p>
    <w:bookmarkEnd w:id="53"/>
    <w:bookmarkStart w:name="z99" w:id="54"/>
    <w:p>
      <w:pPr>
        <w:spacing w:after="0"/>
        <w:ind w:left="0"/>
        <w:jc w:val="both"/>
      </w:pPr>
      <w:r>
        <w:rPr>
          <w:rFonts w:ascii="Times New Roman"/>
          <w:b w:val="false"/>
          <w:i w:val="false"/>
          <w:color w:val="000000"/>
          <w:sz w:val="28"/>
        </w:rPr>
        <w:t>
      </w:t>
      </w:r>
      <w:r>
        <w:rPr>
          <w:rFonts w:ascii="Times New Roman"/>
          <w:b/>
          <w:i w:val="false"/>
          <w:color w:val="000000"/>
          <w:sz w:val="28"/>
        </w:rPr>
        <w:t>A. Отчеты по Проекту</w:t>
      </w:r>
    </w:p>
    <w:bookmarkEnd w:id="54"/>
    <w:bookmarkStart w:name="z101" w:id="55"/>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и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квартал, и представлен Банку не позднее чем через сорок пять (45) дней после окончания периода, охватываемого данным отчетом.</w:t>
      </w:r>
      <w:r>
        <w:br/>
      </w:r>
      <w:r>
        <w:rPr>
          <w:rFonts w:ascii="Times New Roman"/>
          <w:b w:val="false"/>
          <w:i w:val="false"/>
          <w:color w:val="000000"/>
          <w:sz w:val="28"/>
        </w:rPr>
        <w:t>
</w:t>
      </w:r>
      <w:r>
        <w:rPr>
          <w:rFonts w:ascii="Times New Roman"/>
          <w:b w:val="false"/>
          <w:i w:val="false"/>
          <w:color w:val="000000"/>
          <w:sz w:val="28"/>
        </w:rPr>
        <w:t>
      2. Не позднее, чем пятнадцать (15) месяцев после Срока вступления займа в силу Заемщик совместно с Банком проводит среднесрочный обзор прогресса, достигнутого в ходе реализации Проекта (далее «Среднесрочный обзор»). Среднесрочный обзор, среди прочего, должен описывать:</w:t>
      </w:r>
    </w:p>
    <w:bookmarkEnd w:id="55"/>
    <w:bookmarkStart w:name="z103" w:id="56"/>
    <w:p>
      <w:pPr>
        <w:spacing w:after="0"/>
        <w:ind w:left="0"/>
        <w:jc w:val="both"/>
      </w:pPr>
      <w:r>
        <w:rPr>
          <w:rFonts w:ascii="Times New Roman"/>
          <w:b w:val="false"/>
          <w:i w:val="false"/>
          <w:color w:val="000000"/>
          <w:sz w:val="28"/>
        </w:rPr>
        <w:t>
      (а) прогресс в достижении цели Проекта; и</w:t>
      </w:r>
    </w:p>
    <w:bookmarkEnd w:id="56"/>
    <w:bookmarkStart w:name="z104" w:id="57"/>
    <w:p>
      <w:pPr>
        <w:spacing w:after="0"/>
        <w:ind w:left="0"/>
        <w:jc w:val="both"/>
      </w:pPr>
      <w:r>
        <w:rPr>
          <w:rFonts w:ascii="Times New Roman"/>
          <w:b w:val="false"/>
          <w:i w:val="false"/>
          <w:color w:val="000000"/>
          <w:sz w:val="28"/>
        </w:rPr>
        <w:t>
      (b) общие результаты реализации Проекта по сравнению с индикаторами эффективности реализации Проекта, упомянутыми в пункте 1 настоящего Раздела.</w:t>
      </w:r>
    </w:p>
    <w:bookmarkEnd w:id="57"/>
    <w:bookmarkStart w:name="z105" w:id="58"/>
    <w:p>
      <w:pPr>
        <w:spacing w:after="0"/>
        <w:ind w:left="0"/>
        <w:jc w:val="both"/>
      </w:pPr>
      <w:r>
        <w:rPr>
          <w:rFonts w:ascii="Times New Roman"/>
          <w:b w:val="false"/>
          <w:i w:val="false"/>
          <w:color w:val="000000"/>
          <w:sz w:val="28"/>
        </w:rPr>
        <w:t>
      3. Заемщик представит Банку, по крайней мере, за 4 (четыре) недели до Среднесрочного обзора, отдельный отчет с описанием хода реализации каждого компонента Проекта и сводный отчет об общей реализации Проекта.</w:t>
      </w:r>
    </w:p>
    <w:bookmarkEnd w:id="58"/>
    <w:bookmarkStart w:name="z106" w:id="59"/>
    <w:p>
      <w:pPr>
        <w:spacing w:after="0"/>
        <w:ind w:left="0"/>
        <w:jc w:val="both"/>
      </w:pPr>
      <w:r>
        <w:rPr>
          <w:rFonts w:ascii="Times New Roman"/>
          <w:b w:val="false"/>
          <w:i w:val="false"/>
          <w:color w:val="000000"/>
          <w:sz w:val="28"/>
        </w:rPr>
        <w:t>
      </w:t>
      </w:r>
      <w:r>
        <w:rPr>
          <w:rFonts w:ascii="Times New Roman"/>
          <w:b/>
          <w:i w:val="false"/>
          <w:color w:val="000000"/>
          <w:sz w:val="28"/>
        </w:rPr>
        <w:t>B. Финансовое управление, финансовая отчетность и аудит</w:t>
      </w:r>
    </w:p>
    <w:bookmarkEnd w:id="59"/>
    <w:bookmarkStart w:name="z108" w:id="60"/>
    <w:p>
      <w:pPr>
        <w:spacing w:after="0"/>
        <w:ind w:left="0"/>
        <w:jc w:val="both"/>
      </w:pP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w:t>
      </w:r>
    </w:p>
    <w:bookmarkEnd w:id="60"/>
    <w:bookmarkStart w:name="z109" w:id="61"/>
    <w:p>
      <w:pPr>
        <w:spacing w:after="0"/>
        <w:ind w:left="0"/>
        <w:jc w:val="both"/>
      </w:pPr>
      <w:r>
        <w:rPr>
          <w:rFonts w:ascii="Times New Roman"/>
          <w:b w:val="false"/>
          <w:i w:val="false"/>
          <w:color w:val="000000"/>
          <w:sz w:val="28"/>
        </w:rPr>
        <w:t>
      2. Заемщик готовит и представляет в Банк не позднее, чем через сорок пять (45) дней после окончания каждого календарного квартала, промежуточные неаудированные финансовые отчеты по Проекту за квартал, по форме и содержанию, приемлемые для Банка.</w:t>
      </w:r>
    </w:p>
    <w:bookmarkEnd w:id="61"/>
    <w:bookmarkStart w:name="z110" w:id="62"/>
    <w:p>
      <w:pPr>
        <w:spacing w:after="0"/>
        <w:ind w:left="0"/>
        <w:jc w:val="both"/>
      </w:pPr>
      <w:r>
        <w:rPr>
          <w:rFonts w:ascii="Times New Roman"/>
          <w:b w:val="false"/>
          <w:i w:val="false"/>
          <w:color w:val="000000"/>
          <w:sz w:val="28"/>
        </w:rPr>
        <w:t>
      3. Заемщик проводит аудит своей Финансовой отчетности в соответствие с положениями Раздела 5.09 (b) Общих Условий. Каждый аудит Финансовой отчетности должен охватывать период в 1 (один) финансовый год Заемщика. Финансовая отчетность за каждый такой период, прошедшая аудиторскую проверку, предоставляется в Банк не позднее шести (6) месяцев после окончания каждого такого периода.</w:t>
      </w:r>
    </w:p>
    <w:bookmarkEnd w:id="62"/>
    <w:bookmarkStart w:name="z111" w:id="6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III. </w:t>
      </w:r>
      <w:r>
        <w:rPr>
          <w:rFonts w:ascii="Times New Roman"/>
          <w:b w:val="false"/>
          <w:i w:val="false"/>
          <w:color w:val="000000"/>
          <w:sz w:val="28"/>
          <w:u w:val="single"/>
        </w:rPr>
        <w:t>Закупки</w:t>
      </w:r>
    </w:p>
    <w:bookmarkEnd w:id="63"/>
    <w:bookmarkStart w:name="z114" w:id="64"/>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Общие положения</w:t>
      </w:r>
    </w:p>
    <w:bookmarkEnd w:id="64"/>
    <w:bookmarkStart w:name="z117" w:id="65"/>
    <w:p>
      <w:pPr>
        <w:spacing w:after="0"/>
        <w:ind w:left="0"/>
        <w:jc w:val="both"/>
      </w:pPr>
      <w:r>
        <w:rPr>
          <w:rFonts w:ascii="Times New Roman"/>
          <w:b w:val="false"/>
          <w:i w:val="false"/>
          <w:color w:val="000000"/>
          <w:sz w:val="28"/>
        </w:rPr>
        <w:t xml:space="preserve">
      1. </w:t>
      </w:r>
      <w:r>
        <w:rPr>
          <w:rFonts w:ascii="Times New Roman"/>
          <w:b/>
          <w:i w:val="false"/>
          <w:color w:val="000000"/>
          <w:sz w:val="28"/>
        </w:rPr>
        <w:t>Товары и работы</w:t>
      </w:r>
      <w:r>
        <w:rPr>
          <w:rFonts w:ascii="Times New Roman"/>
          <w:b w:val="false"/>
          <w:i w:val="false"/>
          <w:color w:val="000000"/>
          <w:sz w:val="28"/>
        </w:rPr>
        <w:t>. Все товары и работы,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p>
    <w:bookmarkEnd w:id="65"/>
    <w:bookmarkStart w:name="z118" w:id="66"/>
    <w:p>
      <w:pPr>
        <w:spacing w:after="0"/>
        <w:ind w:left="0"/>
        <w:jc w:val="both"/>
      </w:pPr>
      <w:r>
        <w:rPr>
          <w:rFonts w:ascii="Times New Roman"/>
          <w:b w:val="false"/>
          <w:i w:val="false"/>
          <w:color w:val="000000"/>
          <w:sz w:val="28"/>
        </w:rPr>
        <w:t xml:space="preserve">
      2. </w:t>
      </w:r>
      <w:r>
        <w:rPr>
          <w:rFonts w:ascii="Times New Roman"/>
          <w:b/>
          <w:i w:val="false"/>
          <w:color w:val="000000"/>
          <w:sz w:val="28"/>
        </w:rPr>
        <w:t>Услуги консультантов</w:t>
      </w:r>
      <w:r>
        <w:rPr>
          <w:rFonts w:ascii="Times New Roman"/>
          <w:b w:val="false"/>
          <w:i w:val="false"/>
          <w:color w:val="000000"/>
          <w:sz w:val="28"/>
        </w:rPr>
        <w:t>. 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и IV Руководства по отбору и найму консультантов заемщиками Всемирного банка» (Руководство по консультантам), а также в соответствии с положениями настоящего Раздела.</w:t>
      </w:r>
    </w:p>
    <w:bookmarkEnd w:id="66"/>
    <w:bookmarkStart w:name="z119" w:id="67"/>
    <w:p>
      <w:pPr>
        <w:spacing w:after="0"/>
        <w:ind w:left="0"/>
        <w:jc w:val="both"/>
      </w:pP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Термины, начинающиеся с заглавных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соответствующему методу, описанных в Руководстве по закупкам или Руководстве по консультантам, в зависимости от конкретного случая.</w:t>
      </w:r>
    </w:p>
    <w:bookmarkEnd w:id="67"/>
    <w:bookmarkStart w:name="z120" w:id="68"/>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Специфические методы закупок товаров и работ</w:t>
      </w:r>
    </w:p>
    <w:bookmarkEnd w:id="68"/>
    <w:bookmarkStart w:name="z123" w:id="69"/>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Если иное не предусмотрено в пункте 2 ниже, закупка товаров и работ осуществляется по контрактам, заключенным в соответствии с процедурами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Прочие методы закупок товаров и работ</w:t>
      </w:r>
      <w:r>
        <w:rPr>
          <w:rFonts w:ascii="Times New Roman"/>
          <w:b w:val="false"/>
          <w:i w:val="false"/>
          <w:color w:val="000000"/>
          <w:sz w:val="28"/>
        </w:rPr>
        <w:t>. В таблице ниже представлены методы закупок, кроме Международных конкурсных торгов, которые могут быть использованы применительно к товарам. План закупок должен содержать обстоятельства, при которых может использоваться тот или иной метод.</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3"/>
      </w:tblGrid>
      <w:tr>
        <w:trPr>
          <w:trHeight w:val="30" w:hRule="atLeast"/>
        </w:trPr>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Национальные конкурсные торги, подлежат</w:t>
            </w:r>
            <w:r>
              <w:br/>
            </w:r>
            <w:r>
              <w:rPr>
                <w:rFonts w:ascii="Times New Roman"/>
                <w:b w:val="false"/>
                <w:i w:val="false"/>
                <w:color w:val="000000"/>
                <w:sz w:val="20"/>
              </w:rPr>
              <w:t xml:space="preserve">
дополнительным условиям, указанным в </w:t>
            </w:r>
            <w:r>
              <w:rPr>
                <w:rFonts w:ascii="Times New Roman"/>
                <w:b w:val="false"/>
                <w:i w:val="false"/>
                <w:color w:val="000000"/>
                <w:sz w:val="20"/>
                <w:u w:val="single"/>
              </w:rPr>
              <w:t>Дополнительном</w:t>
            </w:r>
          </w:p>
          <w:p>
            <w:pPr>
              <w:spacing w:after="20"/>
              <w:ind w:left="20"/>
              <w:jc w:val="both"/>
            </w:pPr>
            <w:r>
              <w:rPr>
                <w:rFonts w:ascii="Times New Roman"/>
                <w:b w:val="false"/>
                <w:i w:val="false"/>
                <w:color w:val="000000"/>
                <w:sz w:val="20"/>
              </w:rPr>
              <w:t>приложении</w:t>
            </w:r>
            <w:r>
              <w:rPr>
                <w:rFonts w:ascii="Times New Roman"/>
                <w:b w:val="false"/>
                <w:i w:val="false"/>
                <w:color w:val="000000"/>
                <w:sz w:val="20"/>
              </w:rPr>
              <w:t xml:space="preserve"> к настоящему Приложению 2</w:t>
            </w:r>
          </w:p>
        </w:tc>
      </w:tr>
      <w:tr>
        <w:trPr>
          <w:trHeight w:val="30" w:hRule="atLeast"/>
        </w:trPr>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Закупки в свободной торговле</w:t>
            </w:r>
          </w:p>
        </w:tc>
      </w:tr>
      <w:tr>
        <w:trPr>
          <w:trHeight w:val="30" w:hRule="atLeast"/>
        </w:trPr>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Прямое заключение контрактов</w:t>
            </w:r>
          </w:p>
        </w:tc>
      </w:tr>
    </w:tbl>
    <w:bookmarkStart w:name="z125" w:id="70"/>
    <w:p>
      <w:pPr>
        <w:spacing w:after="0"/>
        <w:ind w:left="0"/>
        <w:jc w:val="both"/>
      </w:pPr>
      <w:r>
        <w:rPr>
          <w:rFonts w:ascii="Times New Roman"/>
          <w:b w:val="false"/>
          <w:i w:val="false"/>
          <w:color w:val="000000"/>
          <w:sz w:val="28"/>
        </w:rPr>
        <w:t>
      </w:t>
      </w:r>
      <w:r>
        <w:rPr>
          <w:rFonts w:ascii="Times New Roman"/>
          <w:b/>
          <w:i w:val="false"/>
          <w:color w:val="000000"/>
          <w:sz w:val="28"/>
        </w:rPr>
        <w:t xml:space="preserve">С. </w:t>
      </w:r>
      <w:r>
        <w:rPr>
          <w:rFonts w:ascii="Times New Roman"/>
          <w:b w:val="false"/>
          <w:i w:val="false"/>
          <w:color w:val="000000"/>
          <w:sz w:val="28"/>
          <w:u w:val="single"/>
        </w:rPr>
        <w:t>Специфические методы закупки услуг консультантов</w:t>
      </w:r>
    </w:p>
    <w:bookmarkEnd w:id="70"/>
    <w:bookmarkStart w:name="z128" w:id="71"/>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Если в пункте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p>
    <w:bookmarkEnd w:id="71"/>
    <w:bookmarkStart w:name="z129" w:id="72"/>
    <w:p>
      <w:pPr>
        <w:spacing w:after="0"/>
        <w:ind w:left="0"/>
        <w:jc w:val="both"/>
      </w:pPr>
      <w:r>
        <w:rPr>
          <w:rFonts w:ascii="Times New Roman"/>
          <w:b w:val="false"/>
          <w:i w:val="false"/>
          <w:color w:val="000000"/>
          <w:sz w:val="28"/>
        </w:rPr>
        <w:t xml:space="preserve">
      2. </w:t>
      </w:r>
      <w:r>
        <w:rPr>
          <w:rFonts w:ascii="Times New Roman"/>
          <w:b/>
          <w:i w:val="false"/>
          <w:color w:val="000000"/>
          <w:sz w:val="28"/>
        </w:rPr>
        <w:t>Прочие методы закупок услуг консультантов</w:t>
      </w:r>
      <w:r>
        <w:rPr>
          <w:rFonts w:ascii="Times New Roman"/>
          <w:b w:val="false"/>
          <w:i w:val="false"/>
          <w:color w:val="000000"/>
          <w:sz w:val="28"/>
        </w:rPr>
        <w:t>.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План закупок должен содержать обстоятельства, при которых может использоваться тот или иной метод.</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Отбор при фиксированном бюджете</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Отбор при наименьшей стоимости</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Отбор на основе квалификации консультантов</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Закупки из одного источника</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Процедуры, установленные в параграфах 5.2 и 5.3 Руководства по</w:t>
            </w:r>
            <w:r>
              <w:br/>
            </w:r>
            <w:r>
              <w:rPr>
                <w:rFonts w:ascii="Times New Roman"/>
                <w:b w:val="false"/>
                <w:i w:val="false"/>
                <w:color w:val="000000"/>
                <w:sz w:val="20"/>
              </w:rPr>
              <w:t>
консультантам для отбора индивидуальных консультантов</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Отбор индивидуальных консультантов на безконкурсной основе</w:t>
            </w:r>
          </w:p>
        </w:tc>
      </w:tr>
    </w:tbl>
    <w:bookmarkStart w:name="z130" w:id="73"/>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Рассмотрение Банком решений по закупкам</w:t>
      </w:r>
    </w:p>
    <w:bookmarkEnd w:id="73"/>
    <w:bookmarkStart w:name="z133" w:id="74"/>
    <w:p>
      <w:pPr>
        <w:spacing w:after="0"/>
        <w:ind w:left="0"/>
        <w:jc w:val="both"/>
      </w:pPr>
      <w:r>
        <w:rPr>
          <w:rFonts w:ascii="Times New Roman"/>
          <w:b w:val="false"/>
          <w:i w:val="false"/>
          <w:color w:val="000000"/>
          <w:sz w:val="28"/>
        </w:rPr>
        <w:t>
      В Плане закупок указывается список контрактов, которые подлежат Предварительному рассмотрению Банком. Все прочие контракты являются предметом Последующего рассмотрения Банком.</w:t>
      </w:r>
    </w:p>
    <w:bookmarkEnd w:id="74"/>
    <w:bookmarkStart w:name="z134" w:id="7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rPr>
          <w:rFonts w:ascii="Times New Roman"/>
          <w:b w:val="false"/>
          <w:i w:val="false"/>
          <w:color w:val="000000"/>
          <w:sz w:val="28"/>
          <w:u w:val="single"/>
        </w:rPr>
        <w:t>Снятие средств Займа со счета</w:t>
      </w:r>
    </w:p>
    <w:bookmarkEnd w:id="75"/>
    <w:bookmarkStart w:name="z137" w:id="76"/>
    <w:p>
      <w:pPr>
        <w:spacing w:after="0"/>
        <w:ind w:left="0"/>
        <w:jc w:val="both"/>
      </w:pPr>
      <w:r>
        <w:rPr>
          <w:rFonts w:ascii="Times New Roman"/>
          <w:b w:val="false"/>
          <w:i w:val="false"/>
          <w:color w:val="000000"/>
          <w:sz w:val="28"/>
        </w:rPr>
        <w:t>
      </w:t>
      </w:r>
      <w:r>
        <w:rPr>
          <w:rFonts w:ascii="Times New Roman"/>
          <w:b/>
          <w:i w:val="false"/>
          <w:color w:val="000000"/>
          <w:sz w:val="28"/>
        </w:rPr>
        <w:t xml:space="preserve"> А. Общие положения</w:t>
      </w:r>
    </w:p>
    <w:bookmarkEnd w:id="76"/>
    <w:bookmarkStart w:name="z139" w:id="77"/>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пункта 2 ниже.</w:t>
      </w:r>
    </w:p>
    <w:bookmarkEnd w:id="77"/>
    <w:bookmarkStart w:name="z140" w:id="78"/>
    <w:p>
      <w:pPr>
        <w:spacing w:after="0"/>
        <w:ind w:left="0"/>
        <w:jc w:val="both"/>
      </w:pP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3433"/>
        <w:gridCol w:w="345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Выделенная сумма</w:t>
            </w:r>
            <w:r>
              <w:br/>
            </w:r>
            <w:r>
              <w:rPr>
                <w:rFonts w:ascii="Times New Roman"/>
                <w:b w:val="false"/>
                <w:i w:val="false"/>
                <w:color w:val="000000"/>
                <w:sz w:val="20"/>
              </w:rPr>
              <w:t>
</w:t>
            </w:r>
            <w:r>
              <w:rPr>
                <w:rFonts w:ascii="Times New Roman"/>
                <w:b w:val="false"/>
                <w:i w:val="false"/>
                <w:color w:val="000000"/>
                <w:sz w:val="20"/>
              </w:rPr>
              <w:t>Займа (в долларовом</w:t>
            </w:r>
            <w:r>
              <w:br/>
            </w:r>
            <w:r>
              <w:rPr>
                <w:rFonts w:ascii="Times New Roman"/>
                <w:b w:val="false"/>
                <w:i w:val="false"/>
                <w:color w:val="000000"/>
                <w:sz w:val="20"/>
              </w:rPr>
              <w:t>
</w:t>
            </w:r>
            <w:r>
              <w:rPr>
                <w:rFonts w:ascii="Times New Roman"/>
                <w:b w:val="false"/>
                <w:i w:val="false"/>
                <w:color w:val="000000"/>
                <w:sz w:val="20"/>
              </w:rPr>
              <w:t>эквиваленте)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 расходов,</w:t>
            </w:r>
            <w:r>
              <w:br/>
            </w:r>
            <w:r>
              <w:rPr>
                <w:rFonts w:ascii="Times New Roman"/>
                <w:b w:val="false"/>
                <w:i w:val="false"/>
                <w:color w:val="000000"/>
                <w:sz w:val="20"/>
              </w:rPr>
              <w:t>
</w:t>
            </w:r>
            <w:r>
              <w:rPr>
                <w:rFonts w:ascii="Times New Roman"/>
                <w:b w:val="false"/>
                <w:i w:val="false"/>
                <w:color w:val="000000"/>
                <w:sz w:val="20"/>
              </w:rPr>
              <w:t>подлежащая</w:t>
            </w:r>
            <w:r>
              <w:br/>
            </w:r>
            <w:r>
              <w:rPr>
                <w:rFonts w:ascii="Times New Roman"/>
                <w:b w:val="false"/>
                <w:i w:val="false"/>
                <w:color w:val="000000"/>
                <w:sz w:val="20"/>
              </w:rPr>
              <w:t>
</w:t>
            </w:r>
            <w:r>
              <w:rPr>
                <w:rFonts w:ascii="Times New Roman"/>
                <w:b w:val="false"/>
                <w:i w:val="false"/>
                <w:color w:val="000000"/>
                <w:sz w:val="20"/>
              </w:rPr>
              <w:t>финансированию</w:t>
            </w:r>
            <w:r>
              <w:br/>
            </w:r>
            <w:r>
              <w:rPr>
                <w:rFonts w:ascii="Times New Roman"/>
                <w:b w:val="false"/>
                <w:i w:val="false"/>
                <w:color w:val="000000"/>
                <w:sz w:val="20"/>
              </w:rPr>
              <w:t>
</w:t>
            </w:r>
            <w:r>
              <w:rPr>
                <w:rFonts w:ascii="Times New Roman"/>
                <w:b w:val="false"/>
                <w:i w:val="false"/>
                <w:color w:val="000000"/>
                <w:sz w:val="20"/>
              </w:rPr>
              <w:t>(не включая налоги)</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и работы, услуги</w:t>
            </w:r>
            <w:r>
              <w:br/>
            </w:r>
            <w:r>
              <w:rPr>
                <w:rFonts w:ascii="Times New Roman"/>
                <w:b w:val="false"/>
                <w:i w:val="false"/>
                <w:color w:val="000000"/>
                <w:sz w:val="20"/>
              </w:rPr>
              <w:t>
</w:t>
            </w:r>
            <w:r>
              <w:rPr>
                <w:rFonts w:ascii="Times New Roman"/>
                <w:b w:val="false"/>
                <w:i w:val="false"/>
                <w:color w:val="000000"/>
                <w:sz w:val="20"/>
              </w:rPr>
              <w:t>консультантов,</w:t>
            </w:r>
            <w:r>
              <w:br/>
            </w:r>
            <w:r>
              <w:rPr>
                <w:rFonts w:ascii="Times New Roman"/>
                <w:b w:val="false"/>
                <w:i w:val="false"/>
                <w:color w:val="000000"/>
                <w:sz w:val="20"/>
              </w:rPr>
              <w:t>
</w:t>
            </w:r>
            <w:r>
              <w:rPr>
                <w:rFonts w:ascii="Times New Roman"/>
                <w:b w:val="false"/>
                <w:i w:val="false"/>
                <w:color w:val="000000"/>
                <w:sz w:val="20"/>
              </w:rPr>
              <w:t>дополнительные операционные</w:t>
            </w:r>
            <w:r>
              <w:br/>
            </w:r>
            <w:r>
              <w:rPr>
                <w:rFonts w:ascii="Times New Roman"/>
                <w:b w:val="false"/>
                <w:i w:val="false"/>
                <w:color w:val="000000"/>
                <w:sz w:val="20"/>
              </w:rPr>
              <w:t>
</w:t>
            </w:r>
            <w:r>
              <w:rPr>
                <w:rFonts w:ascii="Times New Roman"/>
                <w:b w:val="false"/>
                <w:i w:val="false"/>
                <w:color w:val="000000"/>
                <w:sz w:val="20"/>
              </w:rPr>
              <w:t>расходы и обучение по</w:t>
            </w:r>
            <w:r>
              <w:br/>
            </w:r>
            <w:r>
              <w:rPr>
                <w:rFonts w:ascii="Times New Roman"/>
                <w:b w:val="false"/>
                <w:i w:val="false"/>
                <w:color w:val="000000"/>
                <w:sz w:val="20"/>
              </w:rPr>
              <w:t>
</w:t>
            </w:r>
            <w:r>
              <w:rPr>
                <w:rFonts w:ascii="Times New Roman"/>
                <w:b w:val="false"/>
                <w:i w:val="false"/>
                <w:color w:val="000000"/>
                <w:sz w:val="20"/>
              </w:rPr>
              <w:t>Проекту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Под-гранты в рамках</w:t>
            </w:r>
            <w:r>
              <w:br/>
            </w:r>
            <w:r>
              <w:rPr>
                <w:rFonts w:ascii="Times New Roman"/>
                <w:b w:val="false"/>
                <w:i w:val="false"/>
                <w:color w:val="000000"/>
                <w:sz w:val="20"/>
              </w:rPr>
              <w:t>
</w:t>
            </w:r>
            <w:r>
              <w:rPr>
                <w:rFonts w:ascii="Times New Roman"/>
                <w:b w:val="false"/>
                <w:i w:val="false"/>
                <w:color w:val="000000"/>
                <w:sz w:val="20"/>
              </w:rPr>
              <w:t>Компонента 3(b) и</w:t>
            </w:r>
            <w:r>
              <w:br/>
            </w:r>
            <w:r>
              <w:rPr>
                <w:rFonts w:ascii="Times New Roman"/>
                <w:b w:val="false"/>
                <w:i w:val="false"/>
                <w:color w:val="000000"/>
                <w:sz w:val="20"/>
              </w:rPr>
              <w:t>
</w:t>
            </w:r>
            <w:r>
              <w:rPr>
                <w:rFonts w:ascii="Times New Roman"/>
                <w:b w:val="false"/>
                <w:i w:val="false"/>
                <w:color w:val="000000"/>
                <w:sz w:val="20"/>
              </w:rPr>
              <w:t>Компонента 3 (с) Проекта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79"/>
    <w:p>
      <w:pPr>
        <w:spacing w:after="0"/>
        <w:ind w:left="0"/>
        <w:jc w:val="both"/>
      </w:pPr>
      <w:r>
        <w:rPr>
          <w:rFonts w:ascii="Times New Roman"/>
          <w:b w:val="false"/>
          <w:i w:val="false"/>
          <w:color w:val="000000"/>
          <w:sz w:val="28"/>
        </w:rPr>
        <w:t>
      В целях исполнения вышеуказанной таблицы:</w:t>
      </w:r>
    </w:p>
    <w:bookmarkEnd w:id="79"/>
    <w:bookmarkStart w:name="z142" w:id="80"/>
    <w:p>
      <w:pPr>
        <w:spacing w:after="0"/>
        <w:ind w:left="0"/>
        <w:jc w:val="both"/>
      </w:pPr>
      <w:r>
        <w:rPr>
          <w:rFonts w:ascii="Times New Roman"/>
          <w:b w:val="false"/>
          <w:i w:val="false"/>
          <w:color w:val="000000"/>
          <w:sz w:val="28"/>
        </w:rPr>
        <w:t>
      (а) термин «Дополнительные операционные расходы» означает обоснованные расходы, понесенные в ходе реализации Проекта Группой управления проектом (ГУП) на аренду офисного помещения, коммунальные услуги, транспорт, канцелярские принадлежности, фотокопию, печать, рекламу, банковские платежи, коммуникационные услуги, поездки и суточные расходы и вспомогательный персонал, за исключением зарплаты государственных служащих; и</w:t>
      </w:r>
      <w:r>
        <w:br/>
      </w:r>
      <w:r>
        <w:rPr>
          <w:rFonts w:ascii="Times New Roman"/>
          <w:b w:val="false"/>
          <w:i w:val="false"/>
          <w:color w:val="000000"/>
          <w:sz w:val="28"/>
        </w:rPr>
        <w:t>
</w:t>
      </w:r>
      <w:r>
        <w:rPr>
          <w:rFonts w:ascii="Times New Roman"/>
          <w:b w:val="false"/>
          <w:i w:val="false"/>
          <w:color w:val="000000"/>
          <w:sz w:val="28"/>
        </w:rPr>
        <w:t>
      (b) «Обучение» означает обучающие туры в рамках Проекта, курсы обучения, семинары и другие учебные мероприятия, не включенные в список контрактов на закупку товаров и услуг, включая расходы на учебные материалы, аренду помещения и оборудования, поездки внутри страны, суточные обучающихся и оплата услуг преподавателей, а также услуги перевода.</w:t>
      </w:r>
    </w:p>
    <w:bookmarkEnd w:id="80"/>
    <w:bookmarkStart w:name="z144" w:id="81"/>
    <w:p>
      <w:pPr>
        <w:spacing w:after="0"/>
        <w:ind w:left="0"/>
        <w:jc w:val="both"/>
      </w:pPr>
      <w:r>
        <w:rPr>
          <w:rFonts w:ascii="Times New Roman"/>
          <w:b w:val="false"/>
          <w:i w:val="false"/>
          <w:color w:val="000000"/>
          <w:sz w:val="28"/>
        </w:rPr>
        <w:t>
      </w:t>
      </w:r>
      <w:r>
        <w:rPr>
          <w:rFonts w:ascii="Times New Roman"/>
          <w:b/>
          <w:i w:val="false"/>
          <w:color w:val="000000"/>
          <w:sz w:val="28"/>
        </w:rPr>
        <w:t xml:space="preserve"> В. Условия снятия; Период снятия</w:t>
      </w:r>
    </w:p>
    <w:bookmarkEnd w:id="81"/>
    <w:bookmarkStart w:name="z146" w:id="82"/>
    <w:p>
      <w:pPr>
        <w:spacing w:after="0"/>
        <w:ind w:left="0"/>
        <w:jc w:val="both"/>
      </w:pPr>
      <w:r>
        <w:rPr>
          <w:rFonts w:ascii="Times New Roman"/>
          <w:b w:val="false"/>
          <w:i w:val="false"/>
          <w:color w:val="000000"/>
          <w:sz w:val="28"/>
        </w:rPr>
        <w:t>
      1. Независимо от положений Части А данного Раздела, средства не должны сниматься:</w:t>
      </w:r>
    </w:p>
    <w:bookmarkEnd w:id="82"/>
    <w:bookmarkStart w:name="z147" w:id="83"/>
    <w:p>
      <w:pPr>
        <w:spacing w:after="0"/>
        <w:ind w:left="0"/>
        <w:jc w:val="both"/>
      </w:pPr>
      <w:r>
        <w:rPr>
          <w:rFonts w:ascii="Times New Roman"/>
          <w:b w:val="false"/>
          <w:i w:val="false"/>
          <w:color w:val="000000"/>
          <w:sz w:val="28"/>
        </w:rPr>
        <w:t>
      (a) со счета Займа до тех пор, пока Банку не будет выплачена в полном объеме комиссия за резервирование средств займа; либо</w:t>
      </w:r>
    </w:p>
    <w:bookmarkEnd w:id="83"/>
    <w:bookmarkStart w:name="z148" w:id="84"/>
    <w:p>
      <w:pPr>
        <w:spacing w:after="0"/>
        <w:ind w:left="0"/>
        <w:jc w:val="both"/>
      </w:pPr>
      <w:r>
        <w:rPr>
          <w:rFonts w:ascii="Times New Roman"/>
          <w:b w:val="false"/>
          <w:i w:val="false"/>
          <w:color w:val="000000"/>
          <w:sz w:val="28"/>
        </w:rPr>
        <w:t>
      (b) по платежам, совершенным до даты настоящего Соглашения.</w:t>
      </w:r>
    </w:p>
    <w:bookmarkEnd w:id="84"/>
    <w:bookmarkStart w:name="z149" w:id="85"/>
    <w:p>
      <w:pPr>
        <w:spacing w:after="0"/>
        <w:ind w:left="0"/>
        <w:jc w:val="both"/>
      </w:pPr>
      <w:r>
        <w:rPr>
          <w:rFonts w:ascii="Times New Roman"/>
          <w:b w:val="false"/>
          <w:i w:val="false"/>
          <w:color w:val="000000"/>
          <w:sz w:val="28"/>
        </w:rPr>
        <w:t>
      2. Дата закрытия - 31 декабря 2013 года.</w:t>
      </w:r>
    </w:p>
    <w:bookmarkEnd w:id="85"/>
    <w:bookmarkStart w:name="z150" w:id="86"/>
    <w:p>
      <w:pPr>
        <w:spacing w:after="0"/>
        <w:ind w:left="0"/>
        <w:jc w:val="left"/>
      </w:pPr>
      <w:r>
        <w:rPr>
          <w:rFonts w:ascii="Times New Roman"/>
          <w:b/>
          <w:i w:val="false"/>
          <w:color w:val="000000"/>
        </w:rPr>
        <w:t xml:space="preserve"> 
Дополнительное Приложение</w:t>
      </w:r>
      <w:r>
        <w:br/>
      </w:r>
      <w:r>
        <w:rPr>
          <w:rFonts w:ascii="Times New Roman"/>
          <w:b/>
          <w:i w:val="false"/>
          <w:color w:val="000000"/>
        </w:rPr>
        <w:t>
к</w:t>
      </w:r>
      <w:r>
        <w:br/>
      </w:r>
      <w:r>
        <w:rPr>
          <w:rFonts w:ascii="Times New Roman"/>
          <w:b/>
          <w:i w:val="false"/>
          <w:color w:val="000000"/>
        </w:rPr>
        <w:t>
ПРИЛОЖЕНИЮ 2</w:t>
      </w:r>
    </w:p>
    <w:bookmarkEnd w:id="86"/>
    <w:bookmarkStart w:name="z153" w:id="87"/>
    <w:p>
      <w:pPr>
        <w:spacing w:after="0"/>
        <w:ind w:left="0"/>
        <w:jc w:val="both"/>
      </w:pPr>
      <w:r>
        <w:rPr>
          <w:rFonts w:ascii="Times New Roman"/>
          <w:b w:val="false"/>
          <w:i w:val="false"/>
          <w:color w:val="000000"/>
          <w:sz w:val="28"/>
        </w:rPr>
        <w:t>
      Процедуры Национальных конкурсных торгов Заемщика могут быть использованы для закупки товаров и работ в рамках Проекта, при условии соблюдения следующих положений:</w:t>
      </w:r>
    </w:p>
    <w:bookmarkEnd w:id="87"/>
    <w:bookmarkStart w:name="z154" w:id="88"/>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Участие государственных предприятий</w:t>
      </w:r>
    </w:p>
    <w:bookmarkEnd w:id="88"/>
    <w:bookmarkStart w:name="z157" w:id="89"/>
    <w:p>
      <w:pPr>
        <w:spacing w:after="0"/>
        <w:ind w:left="0"/>
        <w:jc w:val="both"/>
      </w:pPr>
      <w:r>
        <w:rPr>
          <w:rFonts w:ascii="Times New Roman"/>
          <w:b w:val="false"/>
          <w:i w:val="false"/>
          <w:color w:val="000000"/>
          <w:sz w:val="28"/>
        </w:rPr>
        <w:t>
      Государственные предприятия на территории Заемщика вправе участвовать в конкурсных торгах только в случае их подтверждения того, что они являются юридически и финансово независимыми, действуют в соответствие с коммерческим правом и не являются зависимым агентством заказчика. Далее, государственные предприятия участвуют на аналогичных конкурсных условиях и требованиях безопасности, как и прочие участники.</w:t>
      </w:r>
    </w:p>
    <w:bookmarkEnd w:id="89"/>
    <w:bookmarkStart w:name="z162" w:id="90"/>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Конкурсные документы</w:t>
      </w:r>
    </w:p>
    <w:bookmarkEnd w:id="90"/>
    <w:bookmarkStart w:name="z165" w:id="91"/>
    <w:p>
      <w:pPr>
        <w:spacing w:after="0"/>
        <w:ind w:left="0"/>
        <w:jc w:val="both"/>
      </w:pPr>
      <w:r>
        <w:rPr>
          <w:rFonts w:ascii="Times New Roman"/>
          <w:b w:val="false"/>
          <w:i w:val="false"/>
          <w:color w:val="000000"/>
          <w:sz w:val="28"/>
        </w:rPr>
        <w:t>
      Организации, осуществляющие закупки, используют надлежащие конкурсные документы для закупки товаров и работ, приемлемые для Банка.</w:t>
      </w:r>
    </w:p>
    <w:bookmarkEnd w:id="91"/>
    <w:bookmarkStart w:name="z166" w:id="92"/>
    <w:p>
      <w:pPr>
        <w:spacing w:after="0"/>
        <w:ind w:left="0"/>
        <w:jc w:val="both"/>
      </w:pPr>
      <w:r>
        <w:rPr>
          <w:rFonts w:ascii="Times New Roman"/>
          <w:b w:val="false"/>
          <w:i w:val="false"/>
          <w:color w:val="000000"/>
          <w:sz w:val="28"/>
        </w:rPr>
        <w:t>
      </w:t>
      </w:r>
      <w:r>
        <w:rPr>
          <w:rFonts w:ascii="Times New Roman"/>
          <w:b/>
          <w:i w:val="false"/>
          <w:color w:val="000000"/>
          <w:sz w:val="28"/>
        </w:rPr>
        <w:t xml:space="preserve">C. </w:t>
      </w:r>
      <w:r>
        <w:rPr>
          <w:rFonts w:ascii="Times New Roman"/>
          <w:b w:val="false"/>
          <w:i w:val="false"/>
          <w:color w:val="000000"/>
          <w:sz w:val="28"/>
          <w:u w:val="single"/>
        </w:rPr>
        <w:t>Вскрытие и оценка предложений</w:t>
      </w:r>
    </w:p>
    <w:bookmarkEnd w:id="92"/>
    <w:bookmarkStart w:name="z169" w:id="93"/>
    <w:p>
      <w:pPr>
        <w:spacing w:after="0"/>
        <w:ind w:left="0"/>
        <w:jc w:val="both"/>
      </w:pPr>
      <w:r>
        <w:rPr>
          <w:rFonts w:ascii="Times New Roman"/>
          <w:b w:val="false"/>
          <w:i w:val="false"/>
          <w:color w:val="000000"/>
          <w:sz w:val="28"/>
        </w:rPr>
        <w:t>
      (а) предложения будут вскрыты публично, незамедлительно после окончания срока подачи конкурсных предложений;</w:t>
      </w:r>
      <w:r>
        <w:br/>
      </w:r>
      <w:r>
        <w:rPr>
          <w:rFonts w:ascii="Times New Roman"/>
          <w:b w:val="false"/>
          <w:i w:val="false"/>
          <w:color w:val="000000"/>
          <w:sz w:val="28"/>
        </w:rPr>
        <w:t>
</w:t>
      </w:r>
      <w:r>
        <w:rPr>
          <w:rFonts w:ascii="Times New Roman"/>
          <w:b w:val="false"/>
          <w:i w:val="false"/>
          <w:color w:val="000000"/>
          <w:sz w:val="28"/>
        </w:rPr>
        <w:t>
      (b) оценка предложений будет осуществлена в строгом соответствии с критериями в денежном выражении, указанными в конкурсных документах;</w:t>
      </w:r>
      <w:r>
        <w:br/>
      </w:r>
      <w:r>
        <w:rPr>
          <w:rFonts w:ascii="Times New Roman"/>
          <w:b w:val="false"/>
          <w:i w:val="false"/>
          <w:color w:val="000000"/>
          <w:sz w:val="28"/>
        </w:rPr>
        <w:t>
</w:t>
      </w:r>
      <w:r>
        <w:rPr>
          <w:rFonts w:ascii="Times New Roman"/>
          <w:b w:val="false"/>
          <w:i w:val="false"/>
          <w:color w:val="000000"/>
          <w:sz w:val="28"/>
        </w:rPr>
        <w:t>
      (c) льготы на отечественных производителей и поставщиков не распространяются; и</w:t>
      </w:r>
      <w:r>
        <w:br/>
      </w:r>
      <w:r>
        <w:rPr>
          <w:rFonts w:ascii="Times New Roman"/>
          <w:b w:val="false"/>
          <w:i w:val="false"/>
          <w:color w:val="000000"/>
          <w:sz w:val="28"/>
        </w:rPr>
        <w:t>
</w:t>
      </w:r>
      <w:r>
        <w:rPr>
          <w:rFonts w:ascii="Times New Roman"/>
          <w:b w:val="false"/>
          <w:i w:val="false"/>
          <w:color w:val="000000"/>
          <w:sz w:val="28"/>
        </w:rPr>
        <w:t>
      (d) контракты будут присуждаться участникам, прошедшим конкурсный отбор, подавшим наименьшее полностью соответствующее ценовое предложение без каких-либо переговоров.</w:t>
      </w:r>
    </w:p>
    <w:bookmarkEnd w:id="93"/>
    <w:bookmarkStart w:name="z173" w:id="94"/>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Корректировка цен</w:t>
      </w:r>
    </w:p>
    <w:bookmarkEnd w:id="94"/>
    <w:bookmarkStart w:name="z176" w:id="95"/>
    <w:p>
      <w:pPr>
        <w:spacing w:after="0"/>
        <w:ind w:left="0"/>
        <w:jc w:val="both"/>
      </w:pPr>
      <w:r>
        <w:rPr>
          <w:rFonts w:ascii="Times New Roman"/>
          <w:b w:val="false"/>
          <w:i w:val="false"/>
          <w:color w:val="000000"/>
          <w:sz w:val="28"/>
        </w:rPr>
        <w:t>
      Продолжительные строительные работы (более восемнадцати (18) месяцев) будут включать соответствующее положение о корректировке цен. Контракты на строительные работы на непродолжительный срок (восемнадцать (18) месяцев или меньше) не требуют соответствующего положения о корректировке цен.</w:t>
      </w:r>
    </w:p>
    <w:bookmarkEnd w:id="95"/>
    <w:bookmarkStart w:name="z177" w:id="96"/>
    <w:p>
      <w:pPr>
        <w:spacing w:after="0"/>
        <w:ind w:left="0"/>
        <w:jc w:val="both"/>
      </w:pPr>
      <w:r>
        <w:rPr>
          <w:rFonts w:ascii="Times New Roman"/>
          <w:b w:val="false"/>
          <w:i w:val="false"/>
          <w:color w:val="000000"/>
          <w:sz w:val="28"/>
        </w:rPr>
        <w:t>
      </w:t>
      </w:r>
      <w:r>
        <w:rPr>
          <w:rFonts w:ascii="Times New Roman"/>
          <w:b/>
          <w:i w:val="false"/>
          <w:color w:val="000000"/>
          <w:sz w:val="28"/>
        </w:rPr>
        <w:t xml:space="preserve">E. </w:t>
      </w:r>
      <w:r>
        <w:rPr>
          <w:rFonts w:ascii="Times New Roman"/>
          <w:b w:val="false"/>
          <w:i w:val="false"/>
          <w:color w:val="000000"/>
          <w:sz w:val="28"/>
          <w:u w:val="single"/>
        </w:rPr>
        <w:t>Отмена торгов</w:t>
      </w:r>
    </w:p>
    <w:bookmarkEnd w:id="96"/>
    <w:bookmarkStart w:name="z180" w:id="97"/>
    <w:p>
      <w:pPr>
        <w:spacing w:after="0"/>
        <w:ind w:left="0"/>
        <w:jc w:val="both"/>
      </w:pPr>
      <w:r>
        <w:rPr>
          <w:rFonts w:ascii="Times New Roman"/>
          <w:b w:val="false"/>
          <w:i w:val="false"/>
          <w:color w:val="000000"/>
          <w:sz w:val="28"/>
        </w:rPr>
        <w:t>
      Непризнание тендера или привлечение новых предложений может быть осуществлено только при предварительном согласовании с Банком.</w:t>
      </w:r>
    </w:p>
    <w:bookmarkEnd w:id="97"/>
    <w:bookmarkStart w:name="z181" w:id="98"/>
    <w:p>
      <w:pPr>
        <w:spacing w:after="0"/>
        <w:ind w:left="0"/>
        <w:jc w:val="both"/>
      </w:pPr>
      <w:r>
        <w:rPr>
          <w:rFonts w:ascii="Times New Roman"/>
          <w:b w:val="false"/>
          <w:i w:val="false"/>
          <w:color w:val="000000"/>
          <w:sz w:val="28"/>
        </w:rPr>
        <w:t>
      </w:t>
      </w:r>
      <w:r>
        <w:rPr>
          <w:rFonts w:ascii="Times New Roman"/>
          <w:b/>
          <w:i w:val="false"/>
          <w:color w:val="000000"/>
          <w:sz w:val="28"/>
        </w:rPr>
        <w:t xml:space="preserve">F. </w:t>
      </w:r>
      <w:r>
        <w:rPr>
          <w:rFonts w:ascii="Times New Roman"/>
          <w:b w:val="false"/>
          <w:i w:val="false"/>
          <w:color w:val="000000"/>
          <w:sz w:val="28"/>
          <w:u w:val="single"/>
        </w:rPr>
        <w:t>Отказ от конкретного предложения</w:t>
      </w:r>
    </w:p>
    <w:bookmarkEnd w:id="98"/>
    <w:bookmarkStart w:name="z184" w:id="99"/>
    <w:p>
      <w:pPr>
        <w:spacing w:after="0"/>
        <w:ind w:left="0"/>
        <w:jc w:val="both"/>
      </w:pPr>
      <w:r>
        <w:rPr>
          <w:rFonts w:ascii="Times New Roman"/>
          <w:b w:val="false"/>
          <w:i w:val="false"/>
          <w:color w:val="000000"/>
          <w:sz w:val="28"/>
        </w:rPr>
        <w:t>
      Отдельное предложение может быть отклонено только в следующих случаях:</w:t>
      </w:r>
    </w:p>
    <w:bookmarkEnd w:id="99"/>
    <w:bookmarkStart w:name="z185" w:id="100"/>
    <w:p>
      <w:pPr>
        <w:spacing w:after="0"/>
        <w:ind w:left="0"/>
        <w:jc w:val="both"/>
      </w:pPr>
      <w:r>
        <w:rPr>
          <w:rFonts w:ascii="Times New Roman"/>
          <w:b w:val="false"/>
          <w:i w:val="false"/>
          <w:color w:val="000000"/>
          <w:sz w:val="28"/>
        </w:rPr>
        <w:t>
      (a) Участник торгов не соответствует конкурсным требованиям;</w:t>
      </w:r>
    </w:p>
    <w:bookmarkEnd w:id="100"/>
    <w:bookmarkStart w:name="z187" w:id="101"/>
    <w:p>
      <w:pPr>
        <w:spacing w:after="0"/>
        <w:ind w:left="0"/>
        <w:jc w:val="both"/>
      </w:pPr>
      <w:r>
        <w:rPr>
          <w:rFonts w:ascii="Times New Roman"/>
          <w:b w:val="false"/>
          <w:i w:val="false"/>
          <w:color w:val="000000"/>
          <w:sz w:val="28"/>
        </w:rPr>
        <w:t>
      (b) Участник торгов не принимает исправление арифметической ошибки в своем конкурсном предложении Тендерной Комиссией заказчика; и</w:t>
      </w:r>
    </w:p>
    <w:bookmarkEnd w:id="101"/>
    <w:bookmarkStart w:name="z189" w:id="102"/>
    <w:p>
      <w:pPr>
        <w:spacing w:after="0"/>
        <w:ind w:left="0"/>
        <w:jc w:val="both"/>
      </w:pPr>
      <w:r>
        <w:rPr>
          <w:rFonts w:ascii="Times New Roman"/>
          <w:b w:val="false"/>
          <w:i w:val="false"/>
          <w:color w:val="000000"/>
          <w:sz w:val="28"/>
        </w:rPr>
        <w:t>
      (c) Участник торгов не отвечает требованиям к конкурсным документам.</w:t>
      </w:r>
    </w:p>
    <w:bookmarkEnd w:id="102"/>
    <w:bookmarkStart w:name="z190" w:id="103"/>
    <w:p>
      <w:pPr>
        <w:spacing w:after="0"/>
        <w:ind w:left="0"/>
        <w:jc w:val="left"/>
      </w:pPr>
      <w:r>
        <w:rPr>
          <w:rFonts w:ascii="Times New Roman"/>
          <w:b/>
          <w:i w:val="false"/>
          <w:color w:val="000000"/>
        </w:rPr>
        <w:t xml:space="preserve"> 
ПРИЛОЖЕНИЕ 3</w:t>
      </w:r>
    </w:p>
    <w:bookmarkEnd w:id="103"/>
    <w:bookmarkStart w:name="z191" w:id="104"/>
    <w:p>
      <w:pPr>
        <w:spacing w:after="0"/>
        <w:ind w:left="0"/>
        <w:jc w:val="left"/>
      </w:pPr>
      <w:r>
        <w:rPr>
          <w:rFonts w:ascii="Times New Roman"/>
          <w:b/>
          <w:i w:val="false"/>
          <w:color w:val="000000"/>
        </w:rPr>
        <w:t xml:space="preserve"> 
График погашения</w:t>
      </w:r>
    </w:p>
    <w:bookmarkEnd w:id="104"/>
    <w:bookmarkStart w:name="z192" w:id="105"/>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(б) Доли погашения платежа на каждую Дату погашения основного долга.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397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 по</w:t>
            </w:r>
            <w:r>
              <w:br/>
            </w:r>
            <w:r>
              <w:rPr>
                <w:rFonts w:ascii="Times New Roman"/>
                <w:b w:val="false"/>
                <w:i w:val="false"/>
                <w:color w:val="000000"/>
                <w:sz w:val="20"/>
              </w:rPr>
              <w:t>
основному долгу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погашения</w:t>
            </w:r>
            <w:r>
              <w:br/>
            </w:r>
            <w:r>
              <w:rPr>
                <w:rFonts w:ascii="Times New Roman"/>
                <w:b w:val="false"/>
                <w:i w:val="false"/>
                <w:color w:val="000000"/>
                <w:sz w:val="20"/>
              </w:rPr>
              <w:t>
(в процентном</w:t>
            </w:r>
            <w:r>
              <w:br/>
            </w:r>
            <w:r>
              <w:rPr>
                <w:rFonts w:ascii="Times New Roman"/>
                <w:b w:val="false"/>
                <w:i w:val="false"/>
                <w:color w:val="000000"/>
                <w:sz w:val="20"/>
              </w:rPr>
              <w:t>
выражении)</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каждый 15 января и</w:t>
            </w:r>
            <w:r>
              <w:br/>
            </w:r>
            <w:r>
              <w:rPr>
                <w:rFonts w:ascii="Times New Roman"/>
                <w:b w:val="false"/>
                <w:i w:val="false"/>
                <w:color w:val="000000"/>
                <w:sz w:val="20"/>
              </w:rPr>
              <w:t>
15 июля начиная с 15</w:t>
            </w:r>
            <w:r>
              <w:br/>
            </w:r>
            <w:r>
              <w:rPr>
                <w:rFonts w:ascii="Times New Roman"/>
                <w:b w:val="false"/>
                <w:i w:val="false"/>
                <w:color w:val="000000"/>
                <w:sz w:val="20"/>
              </w:rPr>
              <w:t>
июля, 2014 года по</w:t>
            </w:r>
            <w:r>
              <w:br/>
            </w:r>
            <w:r>
              <w:rPr>
                <w:rFonts w:ascii="Times New Roman"/>
                <w:b w:val="false"/>
                <w:i w:val="false"/>
                <w:color w:val="000000"/>
                <w:sz w:val="20"/>
              </w:rPr>
              <w:t>
15 июля, 2024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15 января, 2025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w:t>
            </w:r>
          </w:p>
        </w:tc>
      </w:tr>
    </w:tbl>
    <w:bookmarkStart w:name="z193" w:id="106"/>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p>
    <w:bookmarkEnd w:id="106"/>
    <w:bookmarkStart w:name="z194" w:id="107"/>
    <w:p>
      <w:pPr>
        <w:spacing w:after="0"/>
        <w:ind w:left="0"/>
        <w:jc w:val="both"/>
      </w:pPr>
      <w:r>
        <w:rPr>
          <w:rFonts w:ascii="Times New Roman"/>
          <w:b w:val="false"/>
          <w:i w:val="false"/>
          <w:color w:val="000000"/>
          <w:sz w:val="28"/>
        </w:rPr>
        <w:t>
      (а)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данного Приложения.</w:t>
      </w:r>
    </w:p>
    <w:bookmarkEnd w:id="107"/>
    <w:bookmarkStart w:name="z196" w:id="108"/>
    <w:p>
      <w:pPr>
        <w:spacing w:after="0"/>
        <w:ind w:left="0"/>
        <w:jc w:val="both"/>
      </w:pPr>
      <w:r>
        <w:rPr>
          <w:rFonts w:ascii="Times New Roman"/>
          <w:b w:val="false"/>
          <w:i w:val="false"/>
          <w:color w:val="000000"/>
          <w:sz w:val="28"/>
        </w:rPr>
        <w:t>
      (б)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w:t>
      </w:r>
    </w:p>
    <w:bookmarkEnd w:id="108"/>
    <w:bookmarkStart w:name="z200" w:id="109"/>
    <w:p>
      <w:pPr>
        <w:spacing w:after="0"/>
        <w:ind w:left="0"/>
        <w:jc w:val="both"/>
      </w:pPr>
      <w:r>
        <w:rPr>
          <w:rFonts w:ascii="Times New Roman"/>
          <w:b w:val="false"/>
          <w:i w:val="false"/>
          <w:color w:val="000000"/>
          <w:sz w:val="28"/>
        </w:rPr>
        <w:t>
      3. (а)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 Несмотря на положения подпункта (а)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p>
    <w:bookmarkEnd w:id="109"/>
    <w:bookmarkStart w:name="z201" w:id="110"/>
    <w:p>
      <w:pPr>
        <w:spacing w:after="0"/>
        <w:ind w:left="0"/>
        <w:jc w:val="both"/>
      </w:pPr>
      <w:r>
        <w:rPr>
          <w:rFonts w:ascii="Times New Roman"/>
          <w:b w:val="false"/>
          <w:i w:val="false"/>
          <w:color w:val="000000"/>
          <w:sz w:val="28"/>
        </w:rPr>
        <w:t>
      </w:t>
      </w:r>
      <w:r>
        <w:rPr>
          <w:rFonts w:ascii="Times New Roman"/>
          <w:b/>
          <w:i w:val="false"/>
          <w:color w:val="000000"/>
          <w:sz w:val="28"/>
        </w:rPr>
        <w:t xml:space="preserve"> ДОПОЛНЕНИЕ</w:t>
      </w:r>
    </w:p>
    <w:bookmarkEnd w:id="110"/>
    <w:bookmarkStart w:name="z203" w:id="11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Определения</w:t>
      </w:r>
    </w:p>
    <w:bookmarkEnd w:id="111"/>
    <w:bookmarkStart w:name="z205" w:id="112"/>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MAP» от 15 октября 2006 года с изменениями, указанными в Разделе III настоящего Приложения.</w:t>
      </w:r>
    </w:p>
    <w:bookmarkEnd w:id="112"/>
    <w:bookmarkStart w:name="z206" w:id="113"/>
    <w:p>
      <w:pPr>
        <w:spacing w:after="0"/>
        <w:ind w:left="0"/>
        <w:jc w:val="both"/>
      </w:pPr>
      <w:r>
        <w:rPr>
          <w:rFonts w:ascii="Times New Roman"/>
          <w:b w:val="false"/>
          <w:i w:val="false"/>
          <w:color w:val="000000"/>
          <w:sz w:val="28"/>
        </w:rPr>
        <w:t>
      2. «Бенефициар» означает получателя под-гранта в рамках Компонента 3 (b) или 3 (с) Проекта, как указано в Операционном руководстве; и «Получатели» означает более, чем один получатель.</w:t>
      </w:r>
    </w:p>
    <w:bookmarkEnd w:id="113"/>
    <w:bookmarkStart w:name="z207" w:id="114"/>
    <w:p>
      <w:pPr>
        <w:spacing w:after="0"/>
        <w:ind w:left="0"/>
        <w:jc w:val="both"/>
      </w:pPr>
      <w:r>
        <w:rPr>
          <w:rFonts w:ascii="Times New Roman"/>
          <w:b w:val="false"/>
          <w:i w:val="false"/>
          <w:color w:val="000000"/>
          <w:sz w:val="28"/>
        </w:rPr>
        <w:t>
      3. «Категория» означает категорию, указанную в таблице Раздела IV Приложения 4 к настоящему Соглашению.</w:t>
      </w:r>
    </w:p>
    <w:bookmarkEnd w:id="114"/>
    <w:bookmarkStart w:name="z208" w:id="115"/>
    <w:p>
      <w:pPr>
        <w:spacing w:after="0"/>
        <w:ind w:left="0"/>
        <w:jc w:val="both"/>
      </w:pPr>
      <w:r>
        <w:rPr>
          <w:rFonts w:ascii="Times New Roman"/>
          <w:b w:val="false"/>
          <w:i w:val="false"/>
          <w:color w:val="000000"/>
          <w:sz w:val="28"/>
        </w:rPr>
        <w:t>
      4. «Руководство по консультантам» означает «Руководство по отбору и найму консультантов Заемщиками Всемирного банка», опубликованное Банком в мае 2004 года и пересмотренное в октябре 2006 года и мае 2010 года.</w:t>
      </w:r>
    </w:p>
    <w:bookmarkEnd w:id="115"/>
    <w:bookmarkStart w:name="z209" w:id="116"/>
    <w:p>
      <w:pPr>
        <w:spacing w:after="0"/>
        <w:ind w:left="0"/>
        <w:jc w:val="both"/>
      </w:pPr>
      <w:r>
        <w:rPr>
          <w:rFonts w:ascii="Times New Roman"/>
          <w:b w:val="false"/>
          <w:i w:val="false"/>
          <w:color w:val="000000"/>
          <w:sz w:val="28"/>
        </w:rPr>
        <w:t>
      5. «СУОС» означает стратегию управления окружающей средой, подготовленную Заемщиком и приемлемую для Банка, опубликованную внутри страны 12 февраля 2010 года и размещенную на веб-сайте Банка Infoshop 26 февраля 2010 года, описывающая правила, руководящие указания и процедуры оценки воздействия на окружающую среду, а также определяющая меры уменьшения, смягчения или устранения неблагоприятного воздействия, связанного с реализацией мероприятий в рамках Проекта, наряду с надлежащими институциональными и механизмами мониторинга и отчетности, способных обеспечить надлежащую реализацию и регулярную обратную связь по соблюдению условий, которые могут время от времени подвергаться изменению и дополнению при условии предварительного письменного согласия со стороны Банка.</w:t>
      </w:r>
    </w:p>
    <w:bookmarkEnd w:id="116"/>
    <w:bookmarkStart w:name="z210" w:id="117"/>
    <w:p>
      <w:pPr>
        <w:spacing w:after="0"/>
        <w:ind w:left="0"/>
        <w:jc w:val="both"/>
      </w:pPr>
      <w:r>
        <w:rPr>
          <w:rFonts w:ascii="Times New Roman"/>
          <w:b w:val="false"/>
          <w:i w:val="false"/>
          <w:color w:val="000000"/>
          <w:sz w:val="28"/>
        </w:rPr>
        <w:t>
      6. «ПУОС» означает план управлению окружающей средой для конкретного участка работ, приемлемый для Банка, подготавливаемый Бенефициаром, наряду с Оценкой воздействия на окружающую среду по конкретному участку работ, для подпроектов категории В в соответствие с требованиями СУОС, в отношении мероприятий, осуществляемые Бенефициаром в рамках Компонента 3 (b) и 3 (с) Проекта; и «Планы управлению окружающей средой» означает более, чем один ПУОС.</w:t>
      </w:r>
    </w:p>
    <w:bookmarkEnd w:id="117"/>
    <w:bookmarkStart w:name="z211" w:id="118"/>
    <w:p>
      <w:pPr>
        <w:spacing w:after="0"/>
        <w:ind w:left="0"/>
        <w:jc w:val="both"/>
      </w:pPr>
      <w:r>
        <w:rPr>
          <w:rFonts w:ascii="Times New Roman"/>
          <w:b w:val="false"/>
          <w:i w:val="false"/>
          <w:color w:val="000000"/>
          <w:sz w:val="28"/>
        </w:rPr>
        <w:t>
      7. «Общие Условия» - «Общие условия для займов Международного банка реконструкции и развития» от 1 июля 2005 года (с поправками до 12 февраля 2008 года), с учетом изменений, представленных в Разделе II данного Приложения.</w:t>
      </w:r>
    </w:p>
    <w:bookmarkEnd w:id="118"/>
    <w:bookmarkStart w:name="z212" w:id="119"/>
    <w:p>
      <w:pPr>
        <w:spacing w:after="0"/>
        <w:ind w:left="0"/>
        <w:jc w:val="both"/>
      </w:pPr>
      <w:r>
        <w:rPr>
          <w:rFonts w:ascii="Times New Roman"/>
          <w:b w:val="false"/>
          <w:i w:val="false"/>
          <w:color w:val="000000"/>
          <w:sz w:val="28"/>
        </w:rPr>
        <w:t>
      8. «МОН РК» означает Министерство образования и науки Республики Казахстан Заемщика или любого его правопреемника или правопреемников.</w:t>
      </w:r>
    </w:p>
    <w:bookmarkEnd w:id="119"/>
    <w:bookmarkStart w:name="z213" w:id="120"/>
    <w:p>
      <w:pPr>
        <w:spacing w:after="0"/>
        <w:ind w:left="0"/>
        <w:jc w:val="both"/>
      </w:pPr>
      <w:r>
        <w:rPr>
          <w:rFonts w:ascii="Times New Roman"/>
          <w:b w:val="false"/>
          <w:i w:val="false"/>
          <w:color w:val="000000"/>
          <w:sz w:val="28"/>
        </w:rPr>
        <w:t>
      9. «Операционное руководство Проекта» означает руководство, которое подлежит утверждению Заемщиком в соответствие с Разделом 4.01 (с) настоящего Соглашения, определяющее операционные и административные обязанности, процедуры и правила для реализации Проекта, включая СУОС, руководство по финансовым процедурам, критерии и процедуры отбора, условия под-проектов в рамках Компонента 3(b) и Компонента 3 (с) Проекта, которые могут время от времени дополняться или изменяться при условии предварительного письменного согласия со стороны Банка.</w:t>
      </w:r>
    </w:p>
    <w:bookmarkEnd w:id="120"/>
    <w:bookmarkStart w:name="z214" w:id="121"/>
    <w:p>
      <w:pPr>
        <w:spacing w:after="0"/>
        <w:ind w:left="0"/>
        <w:jc w:val="both"/>
      </w:pPr>
      <w:r>
        <w:rPr>
          <w:rFonts w:ascii="Times New Roman"/>
          <w:b w:val="false"/>
          <w:i w:val="false"/>
          <w:color w:val="000000"/>
          <w:sz w:val="28"/>
        </w:rPr>
        <w:t>
      10. "ГУП" - Группа управления проектом при МОН РК, создаваемая в соответствии с Разделом 4.01 (а) настоящего Соглашения, обязанностями которой являются повседневное управление Проектом, которые включают: (i) директора проекта; (ii) специалиста по закупкам; (iii) специалиста по финансовому управлению; (iv) координатор для Компонентов 1 и 2 Проекта; (v) координатор для Компонента 3 Проекта; и (v) административный ассистент/переводчик.</w:t>
      </w:r>
    </w:p>
    <w:bookmarkEnd w:id="121"/>
    <w:bookmarkStart w:name="z215" w:id="122"/>
    <w:p>
      <w:pPr>
        <w:spacing w:after="0"/>
        <w:ind w:left="0"/>
        <w:jc w:val="both"/>
      </w:pPr>
      <w:r>
        <w:rPr>
          <w:rFonts w:ascii="Times New Roman"/>
          <w:b w:val="false"/>
          <w:i w:val="false"/>
          <w:color w:val="000000"/>
          <w:sz w:val="28"/>
        </w:rPr>
        <w:t>
      11. «Руководство по закупкам» означает «Руководство по закупкам в рамках займов МБРР и кредитов MAP», опубликованное Банком в мае 2004 года и пересмотренное в октябре 2006 года и мае 2010 года.</w:t>
      </w:r>
    </w:p>
    <w:bookmarkEnd w:id="122"/>
    <w:bookmarkStart w:name="z216" w:id="123"/>
    <w:p>
      <w:pPr>
        <w:spacing w:after="0"/>
        <w:ind w:left="0"/>
        <w:jc w:val="both"/>
      </w:pPr>
      <w:r>
        <w:rPr>
          <w:rFonts w:ascii="Times New Roman"/>
          <w:b w:val="false"/>
          <w:i w:val="false"/>
          <w:color w:val="000000"/>
          <w:sz w:val="28"/>
        </w:rPr>
        <w:t>
      12. «План закупок» означает план закупок Заемщика для Проекта от 12 мая 2010 года, на который имеется ссылка в пункте 1.16 Руководства по закупкам и пункте 1.24 Руководства по консультантам, который может периодически корректироваться в соответствии с положениями указанных пунктов.</w:t>
      </w:r>
    </w:p>
    <w:bookmarkEnd w:id="123"/>
    <w:bookmarkStart w:name="z217" w:id="124"/>
    <w:p>
      <w:pPr>
        <w:spacing w:after="0"/>
        <w:ind w:left="0"/>
        <w:jc w:val="both"/>
      </w:pPr>
      <w:r>
        <w:rPr>
          <w:rFonts w:ascii="Times New Roman"/>
          <w:b w:val="false"/>
          <w:i w:val="false"/>
          <w:color w:val="000000"/>
          <w:sz w:val="28"/>
        </w:rPr>
        <w:t>
      13. «Консультативный Совет Проекта» означает совет технических экспертов, который создается в соответствие с Разделом 4.01 (b) настоящего Соглашения, ответственный за предоставление экспертных консультаций для ГУП в соответствие с Операционным руководством.</w:t>
      </w:r>
    </w:p>
    <w:bookmarkEnd w:id="124"/>
    <w:bookmarkStart w:name="z218" w:id="125"/>
    <w:p>
      <w:pPr>
        <w:spacing w:after="0"/>
        <w:ind w:left="0"/>
        <w:jc w:val="both"/>
      </w:pPr>
      <w:r>
        <w:rPr>
          <w:rFonts w:ascii="Times New Roman"/>
          <w:b w:val="false"/>
          <w:i w:val="false"/>
          <w:color w:val="000000"/>
          <w:sz w:val="28"/>
        </w:rPr>
        <w:t>
      14. "Координационный Комитет Проекта" обозначает комитет в рамках МОН РК, проекта, ответственный за надзор над Проектом, стратегическое руководство, а также общую координацию Проекта под председательством Ответственного Секретаря МОН РК, либо его назначенного представителя, который должен включать ключевых заинтересованных сторон из частного сектора и соответствующих правительственных органов.</w:t>
      </w:r>
    </w:p>
    <w:bookmarkEnd w:id="125"/>
    <w:bookmarkStart w:name="z219" w:id="126"/>
    <w:p>
      <w:pPr>
        <w:spacing w:after="0"/>
        <w:ind w:left="0"/>
        <w:jc w:val="both"/>
      </w:pPr>
      <w:r>
        <w:rPr>
          <w:rFonts w:ascii="Times New Roman"/>
          <w:b w:val="false"/>
          <w:i w:val="false"/>
          <w:color w:val="000000"/>
          <w:sz w:val="28"/>
        </w:rPr>
        <w:t>
      15. «Переселение» означает (i) невольный захват земли, включая все, что растет или постоянно закреплено на данной земле, включая здания и урожаи, несущий за собой: (А) перемещение или потеря убежища; (В) потеря имущества или доступа к имуществу; или (С) потеря источников дохода или средств жизнедеятельности, необходимо или нет пострадавшим лицам переезжать в другое место; или (ii) невольное ограничение доступа в определенные законом парки или охраняемые места, несущее за собой неблагоприятное воздействие на жизнедеятельность пострадавших лиц, охватывающее ограничение на использование ресурсов в отношении людей, живущих за пределами парка или охраняемой территории, или на тех, кто продолжают жить на территории парка или охраняемой территории во время и после реализации Проекта.</w:t>
      </w:r>
    </w:p>
    <w:bookmarkEnd w:id="126"/>
    <w:bookmarkStart w:name="z220" w:id="127"/>
    <w:p>
      <w:pPr>
        <w:spacing w:after="0"/>
        <w:ind w:left="0"/>
        <w:jc w:val="both"/>
      </w:pPr>
      <w:r>
        <w:rPr>
          <w:rFonts w:ascii="Times New Roman"/>
          <w:b w:val="false"/>
          <w:i w:val="false"/>
          <w:color w:val="000000"/>
          <w:sz w:val="28"/>
        </w:rPr>
        <w:t>
      16. «ОВОС для конкретного участка работ» означает оценку воздействия Проекта для конкретного участка работ, приемлемую для Банка, которая подготавливается Бенефициаром, в соответствие с требованиями СУОС в отношении мероприятий, осуществляемых Бенефициаром в рамках Компонента 3 (b) или Компонента 3 (с) Проекта, в зависимости от обстоятельств, включающие, помимо прочего: (І) описание участка работ/территории, где будут проводиться мероприятия проекта; (ii) потенциальные и фактические неблагоприятные социальные и экологические воздействия мероприятий, упоминаемых в рамках пункта (i) выше; и (iii) описание мер смягчения, мониторинга, а также институциональных мер, необходимые согласно СУОС.</w:t>
      </w:r>
    </w:p>
    <w:bookmarkEnd w:id="127"/>
    <w:bookmarkStart w:name="z221" w:id="128"/>
    <w:p>
      <w:pPr>
        <w:spacing w:after="0"/>
        <w:ind w:left="0"/>
        <w:jc w:val="both"/>
      </w:pPr>
      <w:r>
        <w:rPr>
          <w:rFonts w:ascii="Times New Roman"/>
          <w:b w:val="false"/>
          <w:i w:val="false"/>
          <w:color w:val="000000"/>
          <w:sz w:val="28"/>
        </w:rPr>
        <w:t>
      17. "Под-грант" означает грант, предоставленный или предложенный Бенефициару для финансирования товаров, работ и услуг консультантов в рамках под-проекта в рамках Компонента 3 (b) или 3 (с) Проекта.</w:t>
      </w:r>
    </w:p>
    <w:bookmarkEnd w:id="128"/>
    <w:bookmarkStart w:name="z222" w:id="129"/>
    <w:p>
      <w:pPr>
        <w:spacing w:after="0"/>
        <w:ind w:left="0"/>
        <w:jc w:val="both"/>
      </w:pPr>
      <w:r>
        <w:rPr>
          <w:rFonts w:ascii="Times New Roman"/>
          <w:b w:val="false"/>
          <w:i w:val="false"/>
          <w:color w:val="000000"/>
          <w:sz w:val="28"/>
        </w:rPr>
        <w:t>
      18. «Соглашение о под-гранте» означает соглашение, заключаемое между Заемщиком и Бенефициаром, в целях финансирования Под-проекта в рамках Компонента 3 (b) или Компонента 3 (с) Проекта.</w:t>
      </w:r>
    </w:p>
    <w:bookmarkEnd w:id="129"/>
    <w:bookmarkStart w:name="z223" w:id="130"/>
    <w:p>
      <w:pPr>
        <w:spacing w:after="0"/>
        <w:ind w:left="0"/>
        <w:jc w:val="both"/>
      </w:pPr>
      <w:r>
        <w:rPr>
          <w:rFonts w:ascii="Times New Roman"/>
          <w:b w:val="false"/>
          <w:i w:val="false"/>
          <w:color w:val="000000"/>
          <w:sz w:val="28"/>
        </w:rPr>
        <w:t>
      19. «Под-проект» означает конкретный Проект, реализуемый Бенефициаром в рамках Компонента 3 (b) или 3 (с) Проекта с использованием средств под-гранта.</w:t>
      </w:r>
    </w:p>
    <w:bookmarkEnd w:id="130"/>
    <w:bookmarkStart w:name="z224" w:id="131"/>
    <w:p>
      <w:pPr>
        <w:spacing w:after="0"/>
        <w:ind w:left="0"/>
        <w:jc w:val="both"/>
      </w:pPr>
      <w:r>
        <w:rPr>
          <w:rFonts w:ascii="Times New Roman"/>
          <w:b w:val="false"/>
          <w:i w:val="false"/>
          <w:color w:val="000000"/>
          <w:sz w:val="28"/>
        </w:rPr>
        <w:t>
      20. «Тенге» означает законную валюту Заемщика.</w:t>
      </w:r>
    </w:p>
    <w:bookmarkEnd w:id="131"/>
    <w:bookmarkStart w:name="z225" w:id="132"/>
    <w:p>
      <w:pPr>
        <w:spacing w:after="0"/>
        <w:ind w:left="0"/>
        <w:jc w:val="both"/>
      </w:pPr>
      <w:r>
        <w:rPr>
          <w:rFonts w:ascii="Times New Roman"/>
          <w:b w:val="false"/>
          <w:i w:val="false"/>
          <w:color w:val="000000"/>
          <w:sz w:val="28"/>
        </w:rPr>
        <w:t>
      </w:t>
      </w:r>
      <w:r>
        <w:rPr>
          <w:rFonts w:ascii="Times New Roman"/>
          <w:b/>
          <w:i w:val="false"/>
          <w:color w:val="000000"/>
          <w:sz w:val="28"/>
        </w:rPr>
        <w:t>Раздел II. Поправки к Общим условиям</w:t>
      </w:r>
    </w:p>
    <w:bookmarkEnd w:id="132"/>
    <w:bookmarkStart w:name="z227" w:id="133"/>
    <w:p>
      <w:pPr>
        <w:spacing w:after="0"/>
        <w:ind w:left="0"/>
        <w:jc w:val="both"/>
      </w:pPr>
      <w:r>
        <w:rPr>
          <w:rFonts w:ascii="Times New Roman"/>
          <w:b w:val="false"/>
          <w:i w:val="false"/>
          <w:color w:val="000000"/>
          <w:sz w:val="28"/>
        </w:rPr>
        <w:t>
      В Общие условия внесены следующие изменения:</w:t>
      </w:r>
    </w:p>
    <w:bookmarkEnd w:id="133"/>
    <w:bookmarkStart w:name="z229" w:id="134"/>
    <w:p>
      <w:pPr>
        <w:spacing w:after="0"/>
        <w:ind w:left="0"/>
        <w:jc w:val="both"/>
      </w:pPr>
      <w:r>
        <w:rPr>
          <w:rFonts w:ascii="Times New Roman"/>
          <w:b w:val="false"/>
          <w:i w:val="false"/>
          <w:color w:val="000000"/>
          <w:sz w:val="28"/>
        </w:rPr>
        <w:t>
      1. Параграф (а) Раздела 2.07 звучит в следующей редакции:</w:t>
      </w:r>
    </w:p>
    <w:bookmarkEnd w:id="134"/>
    <w:bookmarkStart w:name="z231" w:id="135"/>
    <w:p>
      <w:pPr>
        <w:spacing w:after="0"/>
        <w:ind w:left="0"/>
        <w:jc w:val="both"/>
      </w:pPr>
      <w:r>
        <w:rPr>
          <w:rFonts w:ascii="Times New Roman"/>
          <w:b w:val="false"/>
          <w:i w:val="false"/>
          <w:color w:val="000000"/>
          <w:sz w:val="28"/>
        </w:rPr>
        <w:t xml:space="preserve">
      «Раздел 2.07. </w:t>
      </w:r>
      <w:r>
        <w:rPr>
          <w:rFonts w:ascii="Times New Roman"/>
          <w:b w:val="false"/>
          <w:i/>
          <w:color w:val="000000"/>
          <w:sz w:val="28"/>
        </w:rPr>
        <w:t>Аванс для подготовки к рефинансированию;</w:t>
      </w:r>
      <w:r>
        <w:br/>
      </w:r>
      <w:r>
        <w:rPr>
          <w:rFonts w:ascii="Times New Roman"/>
          <w:b w:val="false"/>
          <w:i w:val="false"/>
          <w:color w:val="000000"/>
          <w:sz w:val="28"/>
        </w:rPr>
        <w:t>
</w:t>
      </w:r>
      <w:r>
        <w:rPr>
          <w:rFonts w:ascii="Times New Roman"/>
          <w:b w:val="false"/>
          <w:i/>
          <w:color w:val="000000"/>
          <w:sz w:val="28"/>
        </w:rPr>
        <w:t>Капитализация комиссии за открытие займа и вознаграждения</w:t>
      </w:r>
    </w:p>
    <w:bookmarkEnd w:id="135"/>
    <w:bookmarkStart w:name="z233" w:id="136"/>
    <w:p>
      <w:pPr>
        <w:spacing w:after="0"/>
        <w:ind w:left="0"/>
        <w:jc w:val="both"/>
      </w:pPr>
      <w:r>
        <w:rPr>
          <w:rFonts w:ascii="Times New Roman"/>
          <w:b w:val="false"/>
          <w:i w:val="false"/>
          <w:color w:val="000000"/>
          <w:sz w:val="28"/>
        </w:rPr>
        <w:t>
      (а) Если Соглашение о займе предусматривает выплату Аванса из средств Займа, предоставленного Банком или Ассоциацией («Аванса на Подготовку»), то Банк от имени Стороны Соглашения о займе должен снять с Кредитного счета на или после Даты вступления в силу такую сумму, которая необходима для погашения снятой и непогашенной суммы аванса на день снятия этой суммы с Кредитного счета и выплатить все начисленные и неоплаченные сборы на сумму аванса, начисленную на эту дату, если они применяются. Банк выплатит эту сумму, снятую таким образом, в свою пользу или в пользу Ассоциации, в зависимости от обстоятельств, и должен аннулировать неснятую сумму аванса».</w:t>
      </w:r>
    </w:p>
    <w:bookmarkEnd w:id="136"/>
    <w:bookmarkStart w:name="z234" w:id="137"/>
    <w:p>
      <w:pPr>
        <w:spacing w:after="0"/>
        <w:ind w:left="0"/>
        <w:jc w:val="both"/>
      </w:pPr>
      <w:r>
        <w:rPr>
          <w:rFonts w:ascii="Times New Roman"/>
          <w:b w:val="false"/>
          <w:i w:val="false"/>
          <w:color w:val="000000"/>
          <w:sz w:val="28"/>
        </w:rPr>
        <w:t>
      2. Параграф (1) Раздела 7.02 звучит в следующей редакции:</w:t>
      </w:r>
    </w:p>
    <w:bookmarkEnd w:id="137"/>
    <w:bookmarkStart w:name="z236" w:id="138"/>
    <w:p>
      <w:pPr>
        <w:spacing w:after="0"/>
        <w:ind w:left="0"/>
        <w:jc w:val="both"/>
      </w:pPr>
      <w:r>
        <w:rPr>
          <w:rFonts w:ascii="Times New Roman"/>
          <w:b w:val="false"/>
          <w:i w:val="false"/>
          <w:color w:val="000000"/>
          <w:sz w:val="28"/>
        </w:rPr>
        <w:t xml:space="preserve">
      «Раздел 7.02. </w:t>
      </w:r>
      <w:r>
        <w:rPr>
          <w:rFonts w:ascii="Times New Roman"/>
          <w:b w:val="false"/>
          <w:i/>
          <w:color w:val="000000"/>
          <w:sz w:val="28"/>
        </w:rPr>
        <w:t>Приостановка Соглашения Банком</w:t>
      </w:r>
    </w:p>
    <w:bookmarkEnd w:id="138"/>
    <w:bookmarkStart w:name="z238" w:id="139"/>
    <w:p>
      <w:pPr>
        <w:spacing w:after="0"/>
        <w:ind w:left="0"/>
        <w:jc w:val="both"/>
      </w:pPr>
      <w:r>
        <w:rPr>
          <w:rFonts w:ascii="Times New Roman"/>
          <w:b w:val="false"/>
          <w:i w:val="false"/>
          <w:color w:val="000000"/>
          <w:sz w:val="28"/>
        </w:rPr>
        <w:t xml:space="preserve">
      ... (1) </w:t>
      </w:r>
      <w:r>
        <w:rPr>
          <w:rFonts w:ascii="Times New Roman"/>
          <w:b w:val="false"/>
          <w:i/>
          <w:color w:val="000000"/>
          <w:sz w:val="28"/>
        </w:rPr>
        <w:t>Несоответствие предъявляемым требованиям</w:t>
      </w:r>
      <w:r>
        <w:rPr>
          <w:rFonts w:ascii="Times New Roman"/>
          <w:b w:val="false"/>
          <w:i w:val="false"/>
          <w:color w:val="000000"/>
          <w:sz w:val="28"/>
        </w:rPr>
        <w:t>. Банк или Ассоциация объявили Заемщика (кроме Государства-члена) или организацию по реализации проекта несоответствующим предъявляемым требованиям для получения какого-либо финансирования от Банка или Ассоциации или иного участия в подготовке или реализации любого проекта, финансируемого полностью или частично Банком или Ассоциацией в результате: (І) определения Банком или Ассоциацией того, что Заемщик или организация по реализации проекта участвует в мошеннических, коррупционных, принудительных действиях или в сговоре в связи с использованием средств любого финансирования, предоставленного Банком или Ассоциацией; и/или заявление другим финансовым учреждением, что Заемщик (кроме Государства-члена) или организация по реализации проекта не вправе получить финансирование данного финансового учреждения, либо участвовать в подготовке или реализации любого проекта, финансируемого полностью или частично данным финансовым учреждением в результате определения данным финансовым учреждением того, что Заемщик или организация по реализации проекта участвует в мошеннических, коррупционных, принудительных действиях или в сговоре в связи с использованием средств любого финансирования, предоставленного данным финансовым учреждением».</w:t>
      </w:r>
    </w:p>
    <w:bookmarkEnd w:id="139"/>
    <w:bookmarkStart w:name="z239" w:id="140"/>
    <w:p>
      <w:pPr>
        <w:spacing w:after="0"/>
        <w:ind w:left="0"/>
        <w:jc w:val="both"/>
      </w:pPr>
      <w:r>
        <w:rPr>
          <w:rFonts w:ascii="Times New Roman"/>
          <w:b w:val="false"/>
          <w:i w:val="false"/>
          <w:color w:val="000000"/>
          <w:sz w:val="28"/>
        </w:rPr>
        <w:t>
      </w:t>
      </w:r>
      <w:r>
        <w:rPr>
          <w:rFonts w:ascii="Times New Roman"/>
          <w:b/>
          <w:i w:val="false"/>
          <w:color w:val="000000"/>
          <w:sz w:val="28"/>
        </w:rPr>
        <w:t>Раздел III. Поправки к Руководству по противодействию коррупции</w:t>
      </w:r>
    </w:p>
    <w:bookmarkEnd w:id="140"/>
    <w:bookmarkStart w:name="z243" w:id="141"/>
    <w:p>
      <w:pPr>
        <w:spacing w:after="0"/>
        <w:ind w:left="0"/>
        <w:jc w:val="both"/>
      </w:pPr>
      <w:r>
        <w:rPr>
          <w:rFonts w:ascii="Times New Roman"/>
          <w:b w:val="false"/>
          <w:i w:val="false"/>
          <w:color w:val="000000"/>
          <w:sz w:val="28"/>
        </w:rPr>
        <w:t>
      Поправки к Руководству по противодействию коррупции звучат в следующей редакции:</w:t>
      </w:r>
    </w:p>
    <w:bookmarkEnd w:id="141"/>
    <w:bookmarkStart w:name="z247" w:id="142"/>
    <w:p>
      <w:pPr>
        <w:spacing w:after="0"/>
        <w:ind w:left="0"/>
        <w:jc w:val="both"/>
      </w:pPr>
      <w:r>
        <w:rPr>
          <w:rFonts w:ascii="Times New Roman"/>
          <w:b w:val="false"/>
          <w:i w:val="false"/>
          <w:color w:val="000000"/>
          <w:sz w:val="28"/>
        </w:rPr>
        <w:t>
      1. Раздел 5 перенумерован как Раздел 5 (a) и новый раздел 5 (b) добавлен в следующей редакции:</w:t>
      </w:r>
    </w:p>
    <w:bookmarkEnd w:id="142"/>
    <w:bookmarkStart w:name="z251" w:id="143"/>
    <w:p>
      <w:pPr>
        <w:spacing w:after="0"/>
        <w:ind w:left="0"/>
        <w:jc w:val="both"/>
      </w:pPr>
      <w:r>
        <w:rPr>
          <w:rFonts w:ascii="Times New Roman"/>
          <w:b w:val="false"/>
          <w:i w:val="false"/>
          <w:color w:val="000000"/>
          <w:sz w:val="28"/>
        </w:rPr>
        <w:t>
      «...(b) Данное Руководство также предусматривает санкции и соответствующие меры, налагаемые Банком на Заемщика (кроме Государства-члена) или всех других лиц или юридических лиц, которые являются получателями средств Займа, в случае если Заемщик или конкретное лицо или юридическое лицо было отстранено другим финансовым учреждением в результате определения данным учреждением, что Заемщик или конкретное лицо или юридическое лицо участвовали в мошеннических, коррупционных, принудительных действиях или в сговоре в связи с использованием средств финансирования, предоставленного данным финансовым учреждением.»</w:t>
      </w:r>
    </w:p>
    <w:bookmarkEnd w:id="143"/>
    <w:bookmarkStart w:name="z252" w:id="144"/>
    <w:p>
      <w:pPr>
        <w:spacing w:after="0"/>
        <w:ind w:left="0"/>
        <w:jc w:val="both"/>
      </w:pPr>
      <w:r>
        <w:rPr>
          <w:rFonts w:ascii="Times New Roman"/>
          <w:b w:val="false"/>
          <w:i w:val="false"/>
          <w:color w:val="000000"/>
          <w:sz w:val="28"/>
        </w:rPr>
        <w:t>
       2. Раздел 11 (a) изменен в следующей редакции:</w:t>
      </w:r>
    </w:p>
    <w:bookmarkEnd w:id="144"/>
    <w:bookmarkStart w:name="z254" w:id="145"/>
    <w:p>
      <w:pPr>
        <w:spacing w:after="0"/>
        <w:ind w:left="0"/>
        <w:jc w:val="both"/>
      </w:pPr>
      <w:r>
        <w:rPr>
          <w:rFonts w:ascii="Times New Roman"/>
          <w:b w:val="false"/>
          <w:i w:val="false"/>
          <w:color w:val="000000"/>
          <w:sz w:val="28"/>
        </w:rPr>
        <w:t>
      «...(а) Применить санкции в соответствие с существующей политикой и процедурами Банка по наложению санкций (fn13) на Заемщика (кроме Государства-члена) (fn14) или конкретное лицо или юридическое лицо, включая (но не ограничиваясь) публичное объявление данного Заемщика, конкретного лица или юридического лица неправомочным, либо на неопределенный срок или на конкретный период времени: (i) для получения контракта на финансирование со стороны Банка; (ii) либо служить выгодополучателем контракта, финансируемого Банком, в финансовом или ином отношении, к примеру, в качестве субподрядчика; и (iii) участвовать в подготовке или реализации проекта или любого другого проекта, частично или полностью финансируемого Банком, в случае, когда в любое время Банк установит (fn15), что данный Заемщик, конкретное лицо или юридическое лицо участвовали в мошеннических, коррупционных, принудительных действиях или в сговоре в связи с использованием средств финансирования, или в случае, если иное финансовое учреждение, с которым Банк вступил в соглашение в целях взаимного исполнения решений о недопущении, объявил данное лицо или юридическое лицо неправомочным для получения средств финансирования, предоставленного данным финансовым учреждением, или участия в подготовке или реализации проекта, частично или полностью финансируемого данным финансовым учреждением в результате установления данным финансовым учреждением того, что Заемщик, конкретное лицо или юридическое лицо участвовали в мошеннических, коррупционных, принудительных действиях или в сговоре в связи с использованием средств финансирования, предоставленных данным финансовым учреждением.»</w:t>
      </w:r>
    </w:p>
    <w:bookmarkEnd w:id="145"/>
    <w:bookmarkStart w:name="z269" w:id="146"/>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Сноски</w:t>
      </w:r>
      <w:r>
        <w:rPr>
          <w:rFonts w:ascii="Times New Roman"/>
          <w:b w:val="false"/>
          <w:i w:val="false"/>
          <w:color w:val="000000"/>
          <w:sz w:val="28"/>
        </w:rPr>
        <w:t>:</w:t>
      </w:r>
    </w:p>
    <w:bookmarkEnd w:id="146"/>
    <w:bookmarkStart w:name="z271" w:id="147"/>
    <w:p>
      <w:pPr>
        <w:spacing w:after="0"/>
        <w:ind w:left="0"/>
        <w:jc w:val="both"/>
      </w:pPr>
      <w:r>
        <w:rPr>
          <w:rFonts w:ascii="Times New Roman"/>
          <w:b w:val="false"/>
          <w:i w:val="false"/>
          <w:color w:val="000000"/>
          <w:sz w:val="28"/>
        </w:rPr>
        <w:t>
      «13. Конкретное лицо или юридическое лицо может быть определено в качестве неправомочного для присуждения контракта, финансируемого Банком, после завершения процедур по наложению санкций согласно правилам и процедурам Банка, или в рамках процедур временного отстранения или раннего временного отстранения в связи с текущим наложением санкций или после санкций, наложенных иным финансовым учреждением, с которым Банк заключил перекрестное соглашение о недопущении, в результате установления данным финансовым учреждением того, что фирма или конкретное лицо участвовали в мошеннических, коррупционных, принудительных действиях или в сговоре в связи с использованием средств финансирования, предоставленных данным финансовым учреждением.»</w:t>
      </w:r>
      <w:r>
        <w:br/>
      </w:r>
      <w:r>
        <w:rPr>
          <w:rFonts w:ascii="Times New Roman"/>
          <w:b w:val="false"/>
          <w:i w:val="false"/>
          <w:color w:val="000000"/>
          <w:sz w:val="28"/>
        </w:rPr>
        <w:t>
</w:t>
      </w:r>
      <w:r>
        <w:rPr>
          <w:rFonts w:ascii="Times New Roman"/>
          <w:b w:val="false"/>
          <w:i w:val="false"/>
          <w:color w:val="000000"/>
          <w:sz w:val="28"/>
        </w:rPr>
        <w:t>
      "14. Государство-член включает должностные лица и сотрудников национального правительства или его политические или административные подразделения и государственные учреждения и агентства, которые не имеют право участвовать в конкурсных торгах в рамках пункта 1.8 (b) Руководства по закупкам или участвовать в рамках пункта 1.11(c) Руководства по консультантам."</w:t>
      </w:r>
      <w:r>
        <w:br/>
      </w:r>
      <w:r>
        <w:rPr>
          <w:rFonts w:ascii="Times New Roman"/>
          <w:b w:val="false"/>
          <w:i w:val="false"/>
          <w:color w:val="000000"/>
          <w:sz w:val="28"/>
        </w:rPr>
        <w:t>
</w:t>
      </w:r>
      <w:r>
        <w:rPr>
          <w:rFonts w:ascii="Times New Roman"/>
          <w:b w:val="false"/>
          <w:i w:val="false"/>
          <w:color w:val="000000"/>
          <w:sz w:val="28"/>
        </w:rPr>
        <w:t>
      «15. Банк создал Совет по санкциям, а также соответствующие процедуры в целях принятия подобных решений. Процедуры Совета по санкциям определяют полный набор санкций, используемых в Банке. Кроме того, Банк принял внутренний протокол, содержащий процесс, которому необходимо следовать при осуществлении отстранений, произведенными другими финансовыми учреждениями, а также объясняющий то, как перекрестные недопущения будут публиковаться на веб-сайте Банка и доведены до сведения сотрудников и других заинтересованных сторон.»</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