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4f655" w14:textId="344f6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о сотрудничестве государств-членов Евразийского экономического сообщества на рынке ценных бумаг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23 сентября 2004 года N 1446.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Действие Соглашения прекращено Законом РК от 24.12.2014 </w:t>
      </w:r>
      <w:r>
        <w:rPr>
          <w:rFonts w:ascii="Times New Roman"/>
          <w:b w:val="false"/>
          <w:i w:val="false"/>
          <w:color w:val="ff0000"/>
          <w:sz w:val="28"/>
        </w:rPr>
        <w:t>№ 266-V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16 Указа Президента Республики Казахстан, имеющего силу закона, от 12 декабря 1995 года N 2679 "О порядке заключения, исполнения и денонсации международных договоров Республики Казахстан" постановляю: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Соглашение о сотрудничестве государств-членов Евразийского экономического сообщества на рынке ценных бумаг, совершенное в городе Астане 18 июня 2004 года.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вступает в силу со дня подписания.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52"/>
        <w:gridCol w:w="2448"/>
      </w:tblGrid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  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о сотрудничестве государств-членов Евразийского</w:t>
      </w:r>
      <w:r>
        <w:br/>
      </w:r>
      <w:r>
        <w:rPr>
          <w:rFonts w:ascii="Times New Roman"/>
          <w:b/>
          <w:i w:val="false"/>
          <w:color w:val="000000"/>
        </w:rPr>
        <w:t>экономического сообщества на рынке ценных бумаг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Государства-члены Евразийского экономического сообщества, далее именуемые Сторонами,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учреждении Евразийского экономического сообщества от 10 октября 2000 г.,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реализуя цели и задачи Евразийского экономического сообщества,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сознавая необходимость создания единого порядка эмиссии и обращения ценных бумаг, единого порядка осуществления профессиональной деятельности на рынке ценных бумаг, единых принципов защиты и обеспечения прав инвесторов в рамках Евразийского экономического сообщества,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содействовать росту экономического потенциала Сторон,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Целями настоящего Соглашения являются создание единого межгосударственного рынка ценных бумаг, разработка и принятие в рамках Евразийского экономического сообщества мер по защите интересов инвесторов межгосударственного рынка ценных бумаг, создание информационной базы данных о межгосударственном рынке ценных бумаг и обеспечение равноправного доступа к ней Сторон.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под межгосударственным рынком ценных бумаг понимается совокупность рынков ценных бумаг Сторон, объединенных общими принципами функционирования и государственного регулирования.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регистрация выпусков и отчетов об итогах выпусков ценных бумаг осуществляется в порядке, установленном законодательством Стороны, на территории которой размещаются и обращаются ценные бумаги.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Участниками межгосударственного рынка ценных бумаг являются эмитенты ценных бумаг, инвесторы, профессиональные участники рынка ценных бумаг, определенные в соответствии с законодательством каждой из Сторон.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 ценных бумаг к размещению и обращению за пределами территории Стороны, резидентом которой является эмитент ценных бумаг, осуществляется в соответствии с законодательством этой Стороны.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 к размещению и обращению на территории любой из Сторон ценных бумаг, эмитентами которых являются нерезиденты, осуществляется в соответствии с законодательством Стороны, на территории которой размещаются и обращаются ценные бумаги.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понятия "резидент" и "нерезидент" определяются в соответствии с законодательством каждой из Сторон.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Профессиональная деятельность на рынке ценных бумаг осуществляется в соответствии с законодательством Стороны, на территории которой осуществляется такая деятельность.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Сделки на межгосударственном рынке ценных бумаг осуществляются в соответствии с законодательством Стороны, на территории которой они совершаются.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Расчеты по сделкам с ценными бумагами, совершаемым на межгосударственном рынке ценных бумаг, осуществляются в валюте, которая определяется по соглашению участников межгосударственного рынка ценных бумаг с учетом требований законодательства Стороны, на территории которой совершаются эти сделки.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из Сторон предоставляет на своем рынке ценных бумаг режим наибольшего благоприятствования резидентам других Сторон.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обязуются принимать меры: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 гармонизации законодательства: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регулирующего эмиссию ценных бумаг;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регулирующего допуск ценных бумаг резидентов к размещению и обращению на территории другой Стороны;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регулирующего допуск к размещению и обращению ценных бумаг нерезидентов;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регулирующего деятельность профессиональных участников рынка ценных бумаг и института коллективных инвестиций.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под институтом коллективных инвестиций понимаются инвестиционные фонды, негосударственные пенсионные фонды, управляющие компании и специализированные депозитарии инвестиционных фондов и негосударственных пенсионных фондов, а также иные организации, относящиеся к институту коллективных инвестиций в соответствии с законодательством каждой из Сторон;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устанавливающего квалификационные требования к специалистам профессиональных участников рынка ценных бумаг и института коллективных инвестиций;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устанавливающего требования к совершению сделок на рынке ценных бумаг;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регулирующего раскрытие информации на рынке ценных бумаг;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 гармонизации кодексов корпоративного поведения;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 выработке единых подходов к осуществлению контроля на рынке ценных бумаг.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Интеграционный Комитет Евразийского экономического сообщества формирует информационную базу данных о рынках ценных бумаг Сторон.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обязуются в соответствии со своим законодательством предоставлять Интеграционному Комитету Евразийского экономического сообщества сведения относительно своих рынков ценных бумаг.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поручат своим уполномоченным органам по регулированию рынков ценных бумаг обмениваться на постоянной основе информацией, необходимой для осуществления контроля на межгосударственном рынке ценных бумаг.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обязуются не передавать третьей стороне сведения, полученные одной из Сторон на основании настоящего Соглашения без письменного согласия Стороны, предоставившей такие сведения.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работы по реализации настоящего Соглашения возлагается на Совет руководителей уполномоченных органов по регулированию рынков ценных бумаг при Интеграционном Комитете Евразийского экономического сообщества, созданный в соответствии с решением Интеграционного Комитета Евразийского экономического сообщества от 29 ноября 2002 г. N 159.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открыто для присоединения к нему любого государства, принятого в члены Евразийского экономического сообщества.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 о присоединении к настоящему Соглашению сдается на хранение депозитарию, которым является Интеграционный Комитет Евразийского экономического сообщества.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отношении присоединившихся государств настоящее Соглашение вступает в силу с даты получения депозитарием документа о присоединении.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договоренности Сторон в настоящее Соглашение могут быть внесены изменения и дополнения, которые оформляются отдельными протоколами, являющимися его неотъемлемой частью. 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Споры, связанные с применением или толкованием настоящего Соглашения, разрешаются путем консультаций и переговоров заинтересованных Сторон. </w:t>
      </w:r>
    </w:p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заключается сроком на пять лет и будет продлеваться на последующие пятилетние периоды, если ни одна из Сторон, не менее чем за шесть месяцев до истечения очередного пятилетнего периода не направит депозитарию письменное уведомление о своем намерении прекратить его действие. </w:t>
      </w:r>
    </w:p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вступает в силу со дня сдачи на хранение депозитарию последнего уведомления о выполнении подписавшими его Сторонами необходимых внутригосударственных процедур.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Сторона может выйти из настоящего Соглашения, направив письменное уведомление об этом депозитарию не позднее, чем за шесть месяцев до выхода.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не затрагивает взаимных прав и обязательств Сторон по действующим международным договорам, относящимся к вопросам, охватываемым настоящим Соглашением, или по международным договорам, которые могут быть заключены в соответствии с предметом и целями настоящего Соглашения.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Астане 18 июня 2004 года в одном подлинном экземпляре на русском языке.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14"/>
        <w:gridCol w:w="1757"/>
        <w:gridCol w:w="3439"/>
        <w:gridCol w:w="74"/>
        <w:gridCol w:w="3516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</w:p>
        </w:tc>
        <w:tc>
          <w:tcPr>
            <w:tcW w:w="3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Республику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Республику</w:t>
            </w:r>
          </w:p>
        </w:tc>
        <w:tc>
          <w:tcPr>
            <w:tcW w:w="3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Кыргызскую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Республику</w:t>
            </w:r>
          </w:p>
        </w:tc>
      </w:tr>
      <w:tr>
        <w:trPr>
          <w:trHeight w:val="30" w:hRule="atLeast"/>
        </w:trPr>
        <w:tc>
          <w:tcPr>
            <w:tcW w:w="3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</w:p>
        </w:tc>
      </w:tr>
      <w:tr>
        <w:trPr>
          <w:trHeight w:val="30" w:hRule="atLeast"/>
        </w:trPr>
        <w:tc>
          <w:tcPr>
            <w:tcW w:w="3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Российскую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Республику</w:t>
            </w:r>
          </w:p>
        </w:tc>
      </w:tr>
      <w:tr>
        <w:trPr>
          <w:trHeight w:val="30" w:hRule="atLeast"/>
        </w:trPr>
        <w:tc>
          <w:tcPr>
            <w:tcW w:w="3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Федерацию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Таджикистан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