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b3ea" w14:textId="18fb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Указу Президента Республики Казахстан от 17 июня 2014 года № 840 "О внесении изменений в указы Президента Республики Казахстан от 18 июня 2009 года № 827 "О Системе государственного планирования в Республике Казахстан" и от 4 марта 2010 года № 931 "О некоторых вопросах дальнейшего функционирования Системы государственного планирования в Республике Казахстан""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Центра стратегических разработок и анализа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указы Президента РК от 18 июня 2009 года № 827 "О Системе государственного планирования в РК" и от 4 марта 2010 года № 931 "О некоторых вопросах дальнейшего функционирования Системы государственного планирования в РК" разработан в реализацию основных подходов Концепции совершенствования Системы государственного планирования (СГП), ориентированной на результаты.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частности, Указом предусматривается выстраивание новой иерархии документов с разделением их на три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 </w:t>
      </w:r>
      <w:r>
        <w:rPr>
          <w:rFonts w:ascii="Times New Roman"/>
          <w:b/>
          <w:i w:val="false"/>
          <w:color w:val="000000"/>
          <w:sz w:val="28"/>
        </w:rPr>
        <w:t xml:space="preserve">первого уровня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относятся документы, определяющие долгосрочное видение развития страны с ключевыми приоритетами и ориентирами, – </w:t>
      </w:r>
      <w:r>
        <w:rPr>
          <w:rFonts w:ascii="Times New Roman"/>
          <w:b w:val="false"/>
          <w:i w:val="false"/>
          <w:color w:val="000000"/>
          <w:sz w:val="28"/>
        </w:rPr>
        <w:t>Стратегия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Казахстана до 2050 года, Стратегический план развития Республики Казахстан на 10 лет, Прогнозная схема территориально-пространственного развития страны, Стратегия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 </w:t>
      </w:r>
      <w:r>
        <w:rPr>
          <w:rFonts w:ascii="Times New Roman"/>
          <w:b/>
          <w:i w:val="false"/>
          <w:color w:val="000000"/>
          <w:sz w:val="28"/>
        </w:rPr>
        <w:t xml:space="preserve">второго уровня </w:t>
      </w:r>
      <w:r>
        <w:rPr>
          <w:rFonts w:ascii="Times New Roman"/>
          <w:b w:val="false"/>
          <w:i w:val="false"/>
          <w:color w:val="000000"/>
          <w:sz w:val="28"/>
        </w:rPr>
        <w:t>относятся документы, определяющие стратегию развития сферы/отрасли, – Прогноз социально-экономического развития на 5 лет, государственные программы на 5–10 лет, отраслевые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документам </w:t>
      </w:r>
      <w:r>
        <w:rPr>
          <w:rFonts w:ascii="Times New Roman"/>
          <w:b/>
          <w:i w:val="false"/>
          <w:color w:val="000000"/>
          <w:sz w:val="28"/>
        </w:rPr>
        <w:t xml:space="preserve">третьего уровня </w:t>
      </w:r>
      <w:r>
        <w:rPr>
          <w:rFonts w:ascii="Times New Roman"/>
          <w:b w:val="false"/>
          <w:i w:val="false"/>
          <w:color w:val="000000"/>
          <w:sz w:val="28"/>
        </w:rPr>
        <w:t>относятся документы, определяющие пути достижения документов первого и второго уровней на основе декомпозиции, – стратегические планы государственных органов на 5 лет, программы развития территорий на 5 лет, стратегии развития на 10 лет национальных управляющих холдингов, национальных холдингов и национальных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и показатели результатов документов СГП должны определяться исходя из данной иерархии.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 перечня документов СГП исключены республиканский и местный бюджеты, планы развития национальных управляющих холдингов, национальных холдингов и национальных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включает в себя также отмену разработки стратегических планов Центральной избирательной комиссией РК, исполнительными органами, финансируемыми из областного бюджета, бюджетов гг. Астаны и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сдерживания необоснованного роста программных документов вводится норма, согласно которой разработка отраслевых программ будет осуществляться в строгом соответствии с Перечнем, утверждаемым Правительством РК.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Центр стратегических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разработок и анализа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Администрации Президента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