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4895" w14:textId="c484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Государственной программе развития и интеграции инфраструктуры транспортной системы Республики Казахстан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социально-экономического мониторинга Администрации Президента Республики Казахстан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задач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"Стратегия "Казахстан-2050": новый политический курс состоявшегося государства" являлась разработка программы развития инфраструктурных центров, опережающей инфраструктуры транспортной системы и программы Глобальной инфраструктурной интеграции.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13 января 2014 года № 725 утверждена Государственная программа развития и интеграции инфраструктуры транспортной системы Республики Казахстан до 2020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Госпрограммы проводилась при поддержке экспертов Всемирного банка. Стратегической целью Госпрограммы является формирование современной транспортной инфраструктуры Казахстана, а также обеспечение ее интеграции в мировую транспортную систему и реализация транзитного потенциала.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Программы являются: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на территории Казахстана современной транспортно-логистической системы, обеспечивающей высокую и эффективную транспортную связность внутри страны, увеличение грузопотоков по территории Республики Казахстан и координация работы всех видов наземного, морского и воздушного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местной транспортной инфраструктуры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интеграции транспортной инфраструктуры Казахстана в мировую транспортную систему.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Программы позволит осуществить реконструкцию и ремонт 30 тыс. км автомобильных дорог и 8,2 тыс. км железнодорожных линий.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удовлетворения потребности в качественном обслуживании пассажиров ж/д вокзалы, автовокзалы и автостанции будут приведены в соответствие установленным стандартам. Все населенные пункты с численностью населения более 100 человек будут охвачены регулярными автобусными маршрутами.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основные аэропорты будут соответствовать международным требованиям ИКАО.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Мощности морских портов к 2020 году увеличатся на 40 %, достигнув 20,5 млн. тонн.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указанных показателей позволит увеличить грузооборот в 1,6 раза, пассажирооборот в 1,5 раза, а объем транзитных грузов в 2 раза. При этом Казахстан в индексе эффективности логистики LPI поднимется с 86-го до 40-го места.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Отдел социально-экономического мониторинга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Администрации 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