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1dea" w14:textId="f9d1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уголовного законодательства по делам о преступлениях, связанных с нарушением правил дорожного движения и эксплуатации транспортных средств"</w:t>
      </w:r>
    </w:p>
    <w:p>
      <w:pPr>
        <w:spacing w:after="0"/>
        <w:ind w:left="0"/>
        <w:jc w:val="both"/>
      </w:pPr>
      <w:r>
        <w:rPr>
          <w:rFonts w:ascii="Times New Roman"/>
          <w:b w:val="false"/>
          <w:i w:val="false"/>
          <w:color w:val="000000"/>
          <w:sz w:val="28"/>
        </w:rPr>
        <w:t>Комментарий к нормативному постановлению Верховного Суда Республики Казахстан № 3 от 29 июня 2011 года</w:t>
      </w:r>
    </w:p>
    <w:p>
      <w:pPr>
        <w:spacing w:after="0"/>
        <w:ind w:left="0"/>
        <w:jc w:val="both"/>
      </w:pPr>
      <w:r>
        <w:rPr>
          <w:rFonts w:ascii="Times New Roman"/>
          <w:b w:val="false"/>
          <w:i w:val="false"/>
          <w:color w:val="000000"/>
          <w:sz w:val="28"/>
        </w:rPr>
        <w:t>      Правильному применению уголовного и уголовно-процессуального законодательства при рассмотрении дел об автотранспортных преступлениях было посвящено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Каз. ССР № 11 от 23 сентября 1983 года «О судебной практике по делам об автотранспортных преступлениях» (с изменениями от 25.12.2006 года). В соответствии с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27 от 22 декабря 2008 года указанное постановление утратило силу. С этого момента накопившиеся в судебной практике неясности в применении законодательства не находили своего официального разрешения.</w:t>
      </w:r>
      <w:r>
        <w:br/>
      </w:r>
      <w:r>
        <w:rPr>
          <w:rFonts w:ascii="Times New Roman"/>
          <w:b w:val="false"/>
          <w:i w:val="false"/>
          <w:color w:val="000000"/>
          <w:sz w:val="28"/>
        </w:rPr>
        <w:t>
      Между тем, обобщение судебной практики показало, что не по всем делам обеспечивается полнота и всесторонность исследования обстоятельств дорожно-транспортного происшествия. При исследовании обстоятельств, выяснение которых требует специальных познаний, суды не в полной мере используют возможности автотехнической экспертизы.</w:t>
      </w:r>
      <w:r>
        <w:br/>
      </w:r>
      <w:r>
        <w:rPr>
          <w:rFonts w:ascii="Times New Roman"/>
          <w:b w:val="false"/>
          <w:i w:val="false"/>
          <w:color w:val="000000"/>
          <w:sz w:val="28"/>
        </w:rPr>
        <w:t>
      В приговорах не всегда четко указываются, какие конкретно нормы Правил дорожного движения нарушены, в чем выразились эти нарушения, состоят ли они в причинной связи с наступившими общественно опасными последствиями.</w:t>
      </w:r>
      <w:r>
        <w:br/>
      </w:r>
      <w:r>
        <w:rPr>
          <w:rFonts w:ascii="Times New Roman"/>
          <w:b w:val="false"/>
          <w:i w:val="false"/>
          <w:color w:val="000000"/>
          <w:sz w:val="28"/>
        </w:rPr>
        <w:t>
      Судами допускались ошибки в квалификации преступлений, в частности, при разграничении нарушений правил безопасности движения и эксплуатации автотранспорта от нарушений правил производства определенных работ, техники безопасности и преступлений против личности, оценке действий виновного в нарушении Правил движения, оставившего потерпевшего без помощи на месте происшествия, и другие.</w:t>
      </w:r>
      <w:r>
        <w:br/>
      </w:r>
      <w:r>
        <w:rPr>
          <w:rFonts w:ascii="Times New Roman"/>
          <w:b w:val="false"/>
          <w:i w:val="false"/>
          <w:color w:val="000000"/>
          <w:sz w:val="28"/>
        </w:rPr>
        <w:t>
      Судами не всегда соблюдался принцип индивидуализации наказания. В некоторых случаях оно назначалось без учета степени вины потерпевшего в создании аварийной ситуации. Суды при наличии к тому оснований иногда не обсуждали и не решали вопрос о лишении виновных права управлять транспортными средствами.</w:t>
      </w:r>
      <w:r>
        <w:br/>
      </w:r>
      <w:r>
        <w:rPr>
          <w:rFonts w:ascii="Times New Roman"/>
          <w:b w:val="false"/>
          <w:i w:val="false"/>
          <w:color w:val="000000"/>
          <w:sz w:val="28"/>
        </w:rPr>
        <w:t>
      К тому же изменился уголовный закон, деяние, предусмотренное частью первой </w:t>
      </w:r>
      <w:r>
        <w:rPr>
          <w:rFonts w:ascii="Times New Roman"/>
          <w:b w:val="false"/>
          <w:i w:val="false"/>
          <w:color w:val="000000"/>
          <w:sz w:val="28"/>
        </w:rPr>
        <w:t>статьи 296</w:t>
      </w:r>
      <w:r>
        <w:rPr>
          <w:rFonts w:ascii="Times New Roman"/>
          <w:b w:val="false"/>
          <w:i w:val="false"/>
          <w:color w:val="000000"/>
          <w:sz w:val="28"/>
        </w:rPr>
        <w:t xml:space="preserve"> УК, декриминализировано, а конструкция других частей </w:t>
      </w:r>
      <w:r>
        <w:rPr>
          <w:rFonts w:ascii="Times New Roman"/>
          <w:b w:val="false"/>
          <w:i w:val="false"/>
          <w:color w:val="000000"/>
          <w:sz w:val="28"/>
        </w:rPr>
        <w:t>статьи 259</w:t>
      </w:r>
      <w:r>
        <w:rPr>
          <w:rFonts w:ascii="Times New Roman"/>
          <w:b w:val="false"/>
          <w:i w:val="false"/>
          <w:color w:val="000000"/>
          <w:sz w:val="28"/>
        </w:rPr>
        <w:t xml:space="preserve"> УК, в санкциях которых не указано дополнительное наказание, порождала у судей сомнения в возможности его назначения в таких случаях.</w:t>
      </w:r>
      <w:r>
        <w:br/>
      </w:r>
      <w:r>
        <w:rPr>
          <w:rFonts w:ascii="Times New Roman"/>
          <w:b w:val="false"/>
          <w:i w:val="false"/>
          <w:color w:val="000000"/>
          <w:sz w:val="28"/>
        </w:rPr>
        <w:t>
      Принятие Верховным Судом нормативного постановления, основные позиции которого приводятся ниже, дает разъяснения по этим и другим вопросам.</w:t>
      </w:r>
      <w:r>
        <w:br/>
      </w:r>
      <w:r>
        <w:rPr>
          <w:rFonts w:ascii="Times New Roman"/>
          <w:b w:val="false"/>
          <w:i w:val="false"/>
          <w:color w:val="000000"/>
          <w:sz w:val="28"/>
        </w:rPr>
        <w:t>
      1. Судам, в первую очередь, разъясняется, что уголовная ответственность за преступления, предусмотренные </w:t>
      </w:r>
      <w:r>
        <w:rPr>
          <w:rFonts w:ascii="Times New Roman"/>
          <w:b w:val="false"/>
          <w:i w:val="false"/>
          <w:color w:val="000000"/>
          <w:sz w:val="28"/>
        </w:rPr>
        <w:t>статьей 296</w:t>
      </w:r>
      <w:r>
        <w:rPr>
          <w:rFonts w:ascii="Times New Roman"/>
          <w:b w:val="false"/>
          <w:i w:val="false"/>
          <w:color w:val="000000"/>
          <w:sz w:val="28"/>
        </w:rPr>
        <w:t xml:space="preserve"> УК, наступает, лишь в случае, если нарушение Правил дорожного движения или эксплуатации транспортных средств повлекло за собой последствия в виде неосторожного причинения тяжкого вреда здоровью человека, либо смерть одного или нескольких лиц. При этом наступившие последствия должны находиться в непосредственной причинной связи с допущенными нарушениями правил дорожного движения или эксплуатации транспортных средств.</w:t>
      </w:r>
      <w:r>
        <w:br/>
      </w:r>
      <w:r>
        <w:rPr>
          <w:rFonts w:ascii="Times New Roman"/>
          <w:b w:val="false"/>
          <w:i w:val="false"/>
          <w:color w:val="000000"/>
          <w:sz w:val="28"/>
        </w:rPr>
        <w:t>
      Нарушения правил дорожного движения или эксплуатации транспортных средств, не повлекшие указанные последствия, могут влечь дисциплинарную, административную или гражданско-правовую ответственность.</w:t>
      </w:r>
      <w:r>
        <w:br/>
      </w:r>
      <w:r>
        <w:rPr>
          <w:rFonts w:ascii="Times New Roman"/>
          <w:b w:val="false"/>
          <w:i w:val="false"/>
          <w:color w:val="000000"/>
          <w:sz w:val="28"/>
        </w:rPr>
        <w:t>
      2. В целях устранения ошибок в определении субъекта преступлений, предусмотренных </w:t>
      </w:r>
      <w:r>
        <w:rPr>
          <w:rFonts w:ascii="Times New Roman"/>
          <w:b w:val="false"/>
          <w:i w:val="false"/>
          <w:color w:val="000000"/>
          <w:sz w:val="28"/>
        </w:rPr>
        <w:t>статьей 296</w:t>
      </w:r>
      <w:r>
        <w:rPr>
          <w:rFonts w:ascii="Times New Roman"/>
          <w:b w:val="false"/>
          <w:i w:val="false"/>
          <w:color w:val="000000"/>
          <w:sz w:val="28"/>
        </w:rPr>
        <w:t xml:space="preserve"> УК, в пункте 2 нормативного постановления разъясняется, что субъектом могут быть лица, достигшие ко времени совершения преступления 16-летнего возраста, управлявшее механическим транспортным средством и нарушившие Правила дорожного движения или эксплуатации транспортных средств. Наличие или отсутствие права на управление или эксплуатацию транспортного средства у указанных лиц, равно как знаний и навыков его эксплуатации на основании ответственности не влияет.</w:t>
      </w:r>
      <w:r>
        <w:br/>
      </w:r>
      <w:r>
        <w:rPr>
          <w:rFonts w:ascii="Times New Roman"/>
          <w:b w:val="false"/>
          <w:i w:val="false"/>
          <w:color w:val="000000"/>
          <w:sz w:val="28"/>
        </w:rPr>
        <w:t>
      Пунктом 1.2 Правил дорожного движения лицо, обучающее вождению на учебном транспортном средстве с двойным управлением, приравнено к лицу, управляющему транспортным средством. В связи с этим, при наступлении последствий, указанных в </w:t>
      </w:r>
      <w:r>
        <w:rPr>
          <w:rFonts w:ascii="Times New Roman"/>
          <w:b w:val="false"/>
          <w:i w:val="false"/>
          <w:color w:val="000000"/>
          <w:sz w:val="28"/>
        </w:rPr>
        <w:t>статье 296</w:t>
      </w:r>
      <w:r>
        <w:rPr>
          <w:rFonts w:ascii="Times New Roman"/>
          <w:b w:val="false"/>
          <w:i w:val="false"/>
          <w:color w:val="000000"/>
          <w:sz w:val="28"/>
        </w:rPr>
        <w:t xml:space="preserve"> УК, в результате совершения обучающимся лицом нарушений, субъектом преступления может быть признан и обучавший его вождению инструктор, следовавший вместе с ним в автомашине при наличии его вины и связи его действий (бездействия) с наступившими последствиями.</w:t>
      </w:r>
      <w:r>
        <w:br/>
      </w:r>
      <w:r>
        <w:rPr>
          <w:rFonts w:ascii="Times New Roman"/>
          <w:b w:val="false"/>
          <w:i w:val="false"/>
          <w:color w:val="000000"/>
          <w:sz w:val="28"/>
        </w:rPr>
        <w:t>
      3. В целях отграничения преступлений, предусмотренных </w:t>
      </w:r>
      <w:r>
        <w:rPr>
          <w:rFonts w:ascii="Times New Roman"/>
          <w:b w:val="false"/>
          <w:i w:val="false"/>
          <w:color w:val="000000"/>
          <w:sz w:val="28"/>
        </w:rPr>
        <w:t>статьей 296</w:t>
      </w:r>
      <w:r>
        <w:rPr>
          <w:rFonts w:ascii="Times New Roman"/>
          <w:b w:val="false"/>
          <w:i w:val="false"/>
          <w:color w:val="000000"/>
          <w:sz w:val="28"/>
        </w:rPr>
        <w:t xml:space="preserve"> УК, от других преступлений, в пункте 3 нормативного постановления дано разъяснение, что следует понимать под механическими транспортными средствами. Ответственность лиц, управляющих транспортными средствами, не относящимися к механическим, подлежат уголовной ответственности за преступление, предусмотренное соответствующей частью </w:t>
      </w:r>
      <w:r>
        <w:rPr>
          <w:rFonts w:ascii="Times New Roman"/>
          <w:b w:val="false"/>
          <w:i w:val="false"/>
          <w:color w:val="000000"/>
          <w:sz w:val="28"/>
        </w:rPr>
        <w:t>статьи 300</w:t>
      </w:r>
      <w:r>
        <w:rPr>
          <w:rFonts w:ascii="Times New Roman"/>
          <w:b w:val="false"/>
          <w:i w:val="false"/>
          <w:color w:val="000000"/>
          <w:sz w:val="28"/>
        </w:rPr>
        <w:t xml:space="preserve"> УК, при условии, если допущенные ими нарушения правил дорожного движения повлекли по неосторожности причинение тяжкого вреда здоровью человека, смерть одного или нескольких лиц.</w:t>
      </w:r>
      <w:r>
        <w:br/>
      </w:r>
      <w:r>
        <w:rPr>
          <w:rFonts w:ascii="Times New Roman"/>
          <w:b w:val="false"/>
          <w:i w:val="false"/>
          <w:color w:val="000000"/>
          <w:sz w:val="28"/>
        </w:rPr>
        <w:t>
      В пункте 4 указано, что при выполнении работ, не связанных с дорожным движением (например, производство погрузочно-разгрузочных работ, ремонт и заправка транспортных средств, производство строительных, дорожных, сельскохозяйственных и других нетранспортных работ), действия лиц, управляющими транспортными средствами, в зависимости от конкретных обстоятельств дела, подлежат квалификации по статьям УК, предусматривающим ответственность за нарушение правил производства определенных работ, правил безопасности либо за преступления против личности.</w:t>
      </w:r>
      <w:r>
        <w:br/>
      </w:r>
      <w:r>
        <w:rPr>
          <w:rFonts w:ascii="Times New Roman"/>
          <w:b w:val="false"/>
          <w:i w:val="false"/>
          <w:color w:val="000000"/>
          <w:sz w:val="28"/>
        </w:rPr>
        <w:t>
      В пункте 5 говорится о том, что нарушение правил вождения или эксплуатации боевой, специальной или транспортной машины Вооруженных сил Республики Казахстан лицом, на которое распространяется статус военнослужащего, повлекшее по неосторожности причинение тяжкого вреда здоровью человека либо его смерть, подлежит квалификации по соответствующей части </w:t>
      </w:r>
      <w:r>
        <w:rPr>
          <w:rFonts w:ascii="Times New Roman"/>
          <w:b w:val="false"/>
          <w:i w:val="false"/>
          <w:color w:val="000000"/>
          <w:sz w:val="28"/>
        </w:rPr>
        <w:t>статьи 391</w:t>
      </w:r>
      <w:r>
        <w:rPr>
          <w:rFonts w:ascii="Times New Roman"/>
          <w:b w:val="false"/>
          <w:i w:val="false"/>
          <w:color w:val="000000"/>
          <w:sz w:val="28"/>
        </w:rPr>
        <w:t xml:space="preserve"> УК. В иных случаях, военнослужащий за нарушения правил дорожного движения или эксплуатации транспортных средств несет ответственность по соответствующей части </w:t>
      </w:r>
      <w:r>
        <w:rPr>
          <w:rFonts w:ascii="Times New Roman"/>
          <w:b w:val="false"/>
          <w:i w:val="false"/>
          <w:color w:val="000000"/>
          <w:sz w:val="28"/>
        </w:rPr>
        <w:t>статьи 296</w:t>
      </w:r>
      <w:r>
        <w:rPr>
          <w:rFonts w:ascii="Times New Roman"/>
          <w:b w:val="false"/>
          <w:i w:val="false"/>
          <w:color w:val="000000"/>
          <w:sz w:val="28"/>
        </w:rPr>
        <w:t xml:space="preserve"> УК.</w:t>
      </w:r>
      <w:r>
        <w:br/>
      </w:r>
      <w:r>
        <w:rPr>
          <w:rFonts w:ascii="Times New Roman"/>
          <w:b w:val="false"/>
          <w:i w:val="false"/>
          <w:color w:val="000000"/>
          <w:sz w:val="28"/>
        </w:rPr>
        <w:t>
      4. Важным является разъяснение, данное в пункте 6 нормативного постановления. Оно касается не только судов, но и органов уголовного преследования, и связано с бланкетным характером диспозиций частей </w:t>
      </w:r>
      <w:r>
        <w:rPr>
          <w:rFonts w:ascii="Times New Roman"/>
          <w:b w:val="false"/>
          <w:i w:val="false"/>
          <w:color w:val="000000"/>
          <w:sz w:val="28"/>
        </w:rPr>
        <w:t>статьи 296</w:t>
      </w:r>
      <w:r>
        <w:rPr>
          <w:rFonts w:ascii="Times New Roman"/>
          <w:b w:val="false"/>
          <w:i w:val="false"/>
          <w:color w:val="000000"/>
          <w:sz w:val="28"/>
        </w:rPr>
        <w:t xml:space="preserve"> УК в обвинительном заключении, в приговоре (постановлении) суда должно содержаться указание о том, какие конкретно пункты Правил дорожного движения или эксплуатации транспортных средств им нарушены, а также раскрыто содержание этих нарушений.</w:t>
      </w:r>
      <w:r>
        <w:br/>
      </w:r>
      <w:r>
        <w:rPr>
          <w:rFonts w:ascii="Times New Roman"/>
          <w:b w:val="false"/>
          <w:i w:val="false"/>
          <w:color w:val="000000"/>
          <w:sz w:val="28"/>
        </w:rPr>
        <w:t>
      Вмененные обвиняемому нарушения Правил дорожного движения или эксплуатации транспортных средств, которые не состоят в причинной связи с наступившими последствиями (например, отсутствие у водителя в момент дорожно-транспортного происшествия водительского удостоверения), не могут образовывать объективную сторону названных преступлений и подлежат исключению из обвинения.</w:t>
      </w:r>
      <w:r>
        <w:br/>
      </w:r>
      <w:r>
        <w:rPr>
          <w:rFonts w:ascii="Times New Roman"/>
          <w:b w:val="false"/>
          <w:i w:val="false"/>
          <w:color w:val="000000"/>
          <w:sz w:val="28"/>
        </w:rPr>
        <w:t>
      В пункте 7 разъяснено, что при участии в дорожно-транспортном происшествии нескольких лиц необходимо устанавливать конкретно совершенное каждым из них нарушение и причинную связь действий каждого с наступившими последствиями. Если наряду с водителем транспортного средства установлена вина других участников ДТП (например, пешеходы, велосипедисты), то действия водителя подлежат квалификации по соответствующей части </w:t>
      </w:r>
      <w:r>
        <w:rPr>
          <w:rFonts w:ascii="Times New Roman"/>
          <w:b w:val="false"/>
          <w:i w:val="false"/>
          <w:color w:val="000000"/>
          <w:sz w:val="28"/>
        </w:rPr>
        <w:t>статьи 296</w:t>
      </w:r>
      <w:r>
        <w:rPr>
          <w:rFonts w:ascii="Times New Roman"/>
          <w:b w:val="false"/>
          <w:i w:val="false"/>
          <w:color w:val="000000"/>
          <w:sz w:val="28"/>
        </w:rPr>
        <w:t xml:space="preserve"> УК, а других лиц – по </w:t>
      </w:r>
      <w:r>
        <w:rPr>
          <w:rFonts w:ascii="Times New Roman"/>
          <w:b w:val="false"/>
          <w:i w:val="false"/>
          <w:color w:val="000000"/>
          <w:sz w:val="28"/>
        </w:rPr>
        <w:t>статье 300</w:t>
      </w:r>
      <w:r>
        <w:rPr>
          <w:rFonts w:ascii="Times New Roman"/>
          <w:b w:val="false"/>
          <w:i w:val="false"/>
          <w:color w:val="000000"/>
          <w:sz w:val="28"/>
        </w:rPr>
        <w:t xml:space="preserve"> УК.</w:t>
      </w:r>
      <w:r>
        <w:br/>
      </w:r>
      <w:r>
        <w:rPr>
          <w:rFonts w:ascii="Times New Roman"/>
          <w:b w:val="false"/>
          <w:i w:val="false"/>
          <w:color w:val="000000"/>
          <w:sz w:val="28"/>
        </w:rPr>
        <w:t>
      В пункте 15 разъясняется, что водитель либо владелец транспортного средства в нарушение действующих правил передавший управление транспортным средством лицу, находящемуся в состоянии алкогольного, наркотического или иного опьянения, если это повлекло по неосторожности причинение тяжкого вреда здоровью, либо смерть одного или нескольких лиц, несет ответственность соответственно по части второй, третьей, четвертой </w:t>
      </w:r>
      <w:r>
        <w:rPr>
          <w:rFonts w:ascii="Times New Roman"/>
          <w:b w:val="false"/>
          <w:i w:val="false"/>
          <w:color w:val="000000"/>
          <w:sz w:val="28"/>
        </w:rPr>
        <w:t>статьи 298</w:t>
      </w:r>
      <w:r>
        <w:rPr>
          <w:rFonts w:ascii="Times New Roman"/>
          <w:b w:val="false"/>
          <w:i w:val="false"/>
          <w:color w:val="000000"/>
          <w:sz w:val="28"/>
        </w:rPr>
        <w:t xml:space="preserve"> УК, а лицо, фактически управлявшее транспортным средством - по соответствующей части </w:t>
      </w:r>
      <w:r>
        <w:rPr>
          <w:rFonts w:ascii="Times New Roman"/>
          <w:b w:val="false"/>
          <w:i w:val="false"/>
          <w:color w:val="000000"/>
          <w:sz w:val="28"/>
        </w:rPr>
        <w:t>статьи 296</w:t>
      </w:r>
      <w:r>
        <w:rPr>
          <w:rFonts w:ascii="Times New Roman"/>
          <w:b w:val="false"/>
          <w:i w:val="false"/>
          <w:color w:val="000000"/>
          <w:sz w:val="28"/>
        </w:rPr>
        <w:t xml:space="preserve"> УК.</w:t>
      </w:r>
      <w:r>
        <w:br/>
      </w:r>
      <w:r>
        <w:rPr>
          <w:rFonts w:ascii="Times New Roman"/>
          <w:b w:val="false"/>
          <w:i w:val="false"/>
          <w:color w:val="000000"/>
          <w:sz w:val="28"/>
        </w:rPr>
        <w:t>
      5) Отмечалась нестабильность судебной практики при квалификации действий лиц, совершивших преступление, предусмотренное </w:t>
      </w:r>
      <w:r>
        <w:rPr>
          <w:rFonts w:ascii="Times New Roman"/>
          <w:b w:val="false"/>
          <w:i w:val="false"/>
          <w:color w:val="000000"/>
          <w:sz w:val="28"/>
        </w:rPr>
        <w:t>статьей 296</w:t>
      </w:r>
      <w:r>
        <w:rPr>
          <w:rFonts w:ascii="Times New Roman"/>
          <w:b w:val="false"/>
          <w:i w:val="false"/>
          <w:color w:val="000000"/>
          <w:sz w:val="28"/>
        </w:rPr>
        <w:t xml:space="preserve"> УК, и оставившее место происшествия. В целях приведения ее к единообразию в пункте 11 дано разъяснение о том, что в подобных случаях лицо несет ответственность как по </w:t>
      </w:r>
      <w:r>
        <w:rPr>
          <w:rFonts w:ascii="Times New Roman"/>
          <w:b w:val="false"/>
          <w:i w:val="false"/>
          <w:color w:val="000000"/>
          <w:sz w:val="28"/>
        </w:rPr>
        <w:t>статье 296</w:t>
      </w:r>
      <w:r>
        <w:rPr>
          <w:rFonts w:ascii="Times New Roman"/>
          <w:b w:val="false"/>
          <w:i w:val="false"/>
          <w:color w:val="000000"/>
          <w:sz w:val="28"/>
        </w:rPr>
        <w:t>, так и по </w:t>
      </w:r>
      <w:r>
        <w:rPr>
          <w:rFonts w:ascii="Times New Roman"/>
          <w:b w:val="false"/>
          <w:i w:val="false"/>
          <w:color w:val="000000"/>
          <w:sz w:val="28"/>
        </w:rPr>
        <w:t>статье 297</w:t>
      </w:r>
      <w:r>
        <w:rPr>
          <w:rFonts w:ascii="Times New Roman"/>
          <w:b w:val="false"/>
          <w:i w:val="false"/>
          <w:color w:val="000000"/>
          <w:sz w:val="28"/>
        </w:rPr>
        <w:t xml:space="preserve"> УК. Дополнительная квалификация деяния по </w:t>
      </w:r>
      <w:r>
        <w:rPr>
          <w:rFonts w:ascii="Times New Roman"/>
          <w:b w:val="false"/>
          <w:i w:val="false"/>
          <w:color w:val="000000"/>
          <w:sz w:val="28"/>
        </w:rPr>
        <w:t>статье 119</w:t>
      </w:r>
      <w:r>
        <w:rPr>
          <w:rFonts w:ascii="Times New Roman"/>
          <w:b w:val="false"/>
          <w:i w:val="false"/>
          <w:color w:val="000000"/>
          <w:sz w:val="28"/>
        </w:rPr>
        <w:t xml:space="preserve"> УК не требуется. От ответственности по </w:t>
      </w:r>
      <w:r>
        <w:rPr>
          <w:rFonts w:ascii="Times New Roman"/>
          <w:b w:val="false"/>
          <w:i w:val="false"/>
          <w:color w:val="000000"/>
          <w:sz w:val="28"/>
        </w:rPr>
        <w:t>статье 297</w:t>
      </w:r>
      <w:r>
        <w:rPr>
          <w:rFonts w:ascii="Times New Roman"/>
          <w:b w:val="false"/>
          <w:i w:val="false"/>
          <w:color w:val="000000"/>
          <w:sz w:val="28"/>
        </w:rPr>
        <w:t xml:space="preserve"> УК лицо освобождается лишь в тех случаях, когда место происшествия им покинуто в целях оказания помощи пострадавшему в ДТП лицу.</w:t>
      </w:r>
      <w:r>
        <w:br/>
      </w:r>
      <w:r>
        <w:rPr>
          <w:rFonts w:ascii="Times New Roman"/>
          <w:b w:val="false"/>
          <w:i w:val="false"/>
          <w:color w:val="000000"/>
          <w:sz w:val="28"/>
        </w:rPr>
        <w:t>
      6) В пунктах 9, 10, 12 разъясняется правовая оценка действий лиц, допустивших несколько нарушений Правил дорожного движения, а также лиц, использовавших транспортные средства для достижения иных преступных целей.</w:t>
      </w:r>
      <w:r>
        <w:br/>
      </w:r>
      <w:r>
        <w:rPr>
          <w:rFonts w:ascii="Times New Roman"/>
          <w:b w:val="false"/>
          <w:i w:val="false"/>
          <w:color w:val="000000"/>
          <w:sz w:val="28"/>
        </w:rPr>
        <w:t>
      7) При доказывании обстоятельств совершения преступления имеет большое значение заключение автотехнической экспертизы. Верховный Суд рекомендует судам обращать внимание на достоверность исходных данных, представленных эксперту для исследования, тщательно анализировать заключение эксперта, сопоставлять его с другими доказательствами, учитывая, что заключение не обладает преимуществом перед ними.</w:t>
      </w:r>
      <w:r>
        <w:br/>
      </w:r>
      <w:r>
        <w:rPr>
          <w:rFonts w:ascii="Times New Roman"/>
          <w:b w:val="false"/>
          <w:i w:val="false"/>
          <w:color w:val="000000"/>
          <w:sz w:val="28"/>
        </w:rPr>
        <w:t>
      8) Некоторые суды придерживались ошибочного мнения о том, что при отсутствии в санкции </w:t>
      </w:r>
      <w:r>
        <w:rPr>
          <w:rFonts w:ascii="Times New Roman"/>
          <w:b w:val="false"/>
          <w:i w:val="false"/>
          <w:color w:val="000000"/>
          <w:sz w:val="28"/>
        </w:rPr>
        <w:t>статьи 296</w:t>
      </w:r>
      <w:r>
        <w:rPr>
          <w:rFonts w:ascii="Times New Roman"/>
          <w:b w:val="false"/>
          <w:i w:val="false"/>
          <w:color w:val="000000"/>
          <w:sz w:val="28"/>
        </w:rPr>
        <w:t xml:space="preserve"> УК дополнительного наказания они не вправе лишать подсудимого права заниматься определенной деятельностью (управлением или эксплуатацией транспортными средствами). В целях исключения подобных ошибок впредь в пункте 16 дано соответствующее разъяснение.</w:t>
      </w:r>
      <w:r>
        <w:br/>
      </w:r>
      <w:r>
        <w:rPr>
          <w:rFonts w:ascii="Times New Roman"/>
          <w:b w:val="false"/>
          <w:i w:val="false"/>
          <w:color w:val="000000"/>
          <w:sz w:val="28"/>
        </w:rPr>
        <w:t>
      9) Для потерпевших важным является возмещение вреда, причиненного вышеуказанными преступлениями. Суды не должны оставлять без рассмотрения гражданские иски по надуманным основаниям, при их разрешении должны учитывать соответствующие нормы ГК, а также разъяснения, данные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Республики Казахстан № 1 от 20 июня 2005 года «О рассмотрении гражданского иска в уголовном процессе».</w:t>
      </w:r>
      <w:r>
        <w:br/>
      </w:r>
      <w:r>
        <w:rPr>
          <w:rFonts w:ascii="Times New Roman"/>
          <w:b w:val="false"/>
          <w:i w:val="false"/>
          <w:color w:val="000000"/>
          <w:sz w:val="28"/>
        </w:rPr>
        <w:t>
      10. Уголовное дело о преступлении,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УК, может быть прекращено по основаниям, предусмотренным </w:t>
      </w:r>
      <w:r>
        <w:rPr>
          <w:rFonts w:ascii="Times New Roman"/>
          <w:b w:val="false"/>
          <w:i w:val="false"/>
          <w:color w:val="000000"/>
          <w:sz w:val="28"/>
        </w:rPr>
        <w:t>статьей 67</w:t>
      </w:r>
      <w:r>
        <w:rPr>
          <w:rFonts w:ascii="Times New Roman"/>
          <w:b w:val="false"/>
          <w:i w:val="false"/>
          <w:color w:val="000000"/>
          <w:sz w:val="28"/>
        </w:rPr>
        <w:t xml:space="preserve"> УК. Если действия лица образуют совокупность преступлений, предусмотренных </w:t>
      </w:r>
      <w:r>
        <w:rPr>
          <w:rFonts w:ascii="Times New Roman"/>
          <w:b w:val="false"/>
          <w:i w:val="false"/>
          <w:color w:val="000000"/>
          <w:sz w:val="28"/>
        </w:rPr>
        <w:t>статьей 296</w:t>
      </w:r>
      <w:r>
        <w:rPr>
          <w:rFonts w:ascii="Times New Roman"/>
          <w:b w:val="false"/>
          <w:i w:val="false"/>
          <w:color w:val="000000"/>
          <w:sz w:val="28"/>
        </w:rPr>
        <w:t xml:space="preserve"> УК и другими статьями УК, то вопрос о применении </w:t>
      </w:r>
      <w:r>
        <w:rPr>
          <w:rFonts w:ascii="Times New Roman"/>
          <w:b w:val="false"/>
          <w:i w:val="false"/>
          <w:color w:val="000000"/>
          <w:sz w:val="28"/>
        </w:rPr>
        <w:t>статьи 67</w:t>
      </w:r>
      <w:r>
        <w:rPr>
          <w:rFonts w:ascii="Times New Roman"/>
          <w:b w:val="false"/>
          <w:i w:val="false"/>
          <w:color w:val="000000"/>
          <w:sz w:val="28"/>
        </w:rPr>
        <w:t xml:space="preserve"> УК решается в отношении каждого деяния индивидуально.</w:t>
      </w:r>
      <w:r>
        <w:br/>
      </w:r>
      <w:r>
        <w:rPr>
          <w:rFonts w:ascii="Times New Roman"/>
          <w:b w:val="false"/>
          <w:i w:val="false"/>
          <w:color w:val="000000"/>
          <w:sz w:val="28"/>
        </w:rPr>
        <w:t>
      После прекращения уголовного дела в отношении лица, обвинявшегося в совершении преступления, предусмотренного </w:t>
      </w:r>
      <w:r>
        <w:rPr>
          <w:rFonts w:ascii="Times New Roman"/>
          <w:b w:val="false"/>
          <w:i w:val="false"/>
          <w:color w:val="000000"/>
          <w:sz w:val="28"/>
        </w:rPr>
        <w:t>статьей 296</w:t>
      </w:r>
      <w:r>
        <w:rPr>
          <w:rFonts w:ascii="Times New Roman"/>
          <w:b w:val="false"/>
          <w:i w:val="false"/>
          <w:color w:val="000000"/>
          <w:sz w:val="28"/>
        </w:rPr>
        <w:t xml:space="preserve"> УК, по предусмотренным уголовным, уголовно-процессуальными законами основаниям, лицо в силу части пятой </w:t>
      </w:r>
      <w:r>
        <w:rPr>
          <w:rFonts w:ascii="Times New Roman"/>
          <w:b w:val="false"/>
          <w:i w:val="false"/>
          <w:color w:val="000000"/>
          <w:sz w:val="28"/>
        </w:rPr>
        <w:t>статьи 69</w:t>
      </w:r>
      <w:r>
        <w:rPr>
          <w:rFonts w:ascii="Times New Roman"/>
          <w:b w:val="false"/>
          <w:i w:val="false"/>
          <w:color w:val="000000"/>
          <w:sz w:val="28"/>
        </w:rPr>
        <w:t xml:space="preserve"> КоАП может быть привлечено к административной ответственности не позднее трех месяцев со дня принятия решения о прекращении уголовного дела лишь в случаях наличия в его действиях признаков административного правонарушения.</w:t>
      </w:r>
      <w:r>
        <w:br/>
      </w:r>
      <w:r>
        <w:rPr>
          <w:rFonts w:ascii="Times New Roman"/>
          <w:b w:val="false"/>
          <w:i w:val="false"/>
          <w:color w:val="000000"/>
          <w:sz w:val="28"/>
        </w:rPr>
        <w:t>
      Вопрос взыскания материального ущерба в этих случаях может быть разрешен в порядке гражданского судопроизводства.</w:t>
      </w:r>
      <w:r>
        <w:br/>
      </w:r>
      <w:r>
        <w:rPr>
          <w:rFonts w:ascii="Times New Roman"/>
          <w:b w:val="false"/>
          <w:i w:val="false"/>
          <w:color w:val="000000"/>
          <w:sz w:val="28"/>
        </w:rPr>
        <w:t>
      Прекращение дела по амнистии, ввиду истечения срока давности, в связи с примирением с потерпевшим и т.п. основаниям, исключает применение к лицу мер административной ответственности, поскольку в деянии такого лица признаки административного правонарушения отсутствуют, а содержатся признаки уголовно наказуемого деяния, и вопрос об уголовной ответственности лица разрешен в рамках уголовного дела.</w:t>
      </w:r>
      <w:r>
        <w:br/>
      </w:r>
      <w:r>
        <w:rPr>
          <w:rFonts w:ascii="Times New Roman"/>
          <w:b w:val="false"/>
          <w:i w:val="false"/>
          <w:color w:val="000000"/>
          <w:sz w:val="28"/>
        </w:rPr>
        <w:t>
      В нормативном постановлении специально не оговорено о том, что суды при наличии к тому оснований должны выносить частные постановления. Однако это не освобождает суды от выполнения требований части четвертой </w:t>
      </w:r>
      <w:r>
        <w:rPr>
          <w:rFonts w:ascii="Times New Roman"/>
          <w:b w:val="false"/>
          <w:i w:val="false"/>
          <w:color w:val="000000"/>
          <w:sz w:val="28"/>
        </w:rPr>
        <w:t>статей 59</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УПК,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 11 от 19 декабря 2003 года «О практике вынесения судами частных постановлений по уголовным делам».</w:t>
      </w:r>
      <w:r>
        <w:br/>
      </w:r>
      <w:r>
        <w:rPr>
          <w:rFonts w:ascii="Times New Roman"/>
          <w:b w:val="false"/>
          <w:i w:val="false"/>
          <w:color w:val="000000"/>
          <w:sz w:val="28"/>
        </w:rPr>
        <w:t>
      Принятие Верховным Судом настоящего постановления предполагает недопущение судами ошибок при рассмотрении дел данной категории</w:t>
      </w:r>
    </w:p>
    <w:p>
      <w:pPr>
        <w:spacing w:after="0"/>
        <w:ind w:left="0"/>
        <w:jc w:val="both"/>
      </w:pPr>
      <w:r>
        <w:rPr>
          <w:rFonts w:ascii="Times New Roman"/>
          <w:b w:val="false"/>
          <w:i/>
          <w:color w:val="000000"/>
          <w:sz w:val="28"/>
        </w:rPr>
        <w:t>Юрченко Р.Н.,</w:t>
      </w:r>
      <w:r>
        <w:br/>
      </w:r>
      <w:r>
        <w:rPr>
          <w:rFonts w:ascii="Times New Roman"/>
          <w:b w:val="false"/>
          <w:i w:val="false"/>
          <w:color w:val="000000"/>
          <w:sz w:val="28"/>
        </w:rPr>
        <w:t>
</w:t>
      </w:r>
      <w:r>
        <w:rPr>
          <w:rFonts w:ascii="Times New Roman"/>
          <w:b w:val="false"/>
          <w:i/>
          <w:color w:val="000000"/>
          <w:sz w:val="28"/>
        </w:rPr>
        <w:t>член Научно - консультативного совета</w:t>
      </w:r>
      <w:r>
        <w:br/>
      </w:r>
      <w:r>
        <w:rPr>
          <w:rFonts w:ascii="Times New Roman"/>
          <w:b w:val="false"/>
          <w:i w:val="false"/>
          <w:color w:val="000000"/>
          <w:sz w:val="28"/>
        </w:rPr>
        <w:t>
</w:t>
      </w:r>
      <w:r>
        <w:rPr>
          <w:rFonts w:ascii="Times New Roman"/>
          <w:b w:val="false"/>
          <w:i/>
          <w:color w:val="000000"/>
          <w:sz w:val="28"/>
        </w:rPr>
        <w:t>Верховного Суда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