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63ee" w14:textId="0e06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некоторые решения Правительства Республики Казахстан" по исчислению налога на добавленную стоимость методом зачета по импортируемым локомотивам железнодорожным и вагонам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постановлению Правительства Республики Казахстан от 12 февраля 2004 года N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дополняющий перечень импортируемых товаров, по которым налог на добавленную стоимость уплачивается методом зачета локомотивами железнодорожными и вагонами,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года "О внесении изменений и дополнений в Кодекс Республики Казахстан "О налогах и других обязательных платежах в бюджет" (Налоговый кодекс)" вступил в силу с 1 января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250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установлено, что перечень товаров, по которым применяется вышеуказанный метод исчисления НДС, определяется Правительством Республики Казахстан. Для реализации данной нормы принято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марта 2003 года N 269 "Об утверждении Перечня импортируемого оборудования, сельскохозяйственной техники, грузового подвижного состава автомобильного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 Налоговым кодексом"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февраля 2004 года N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некоторые решения Правительства Республики Казахстан", вступившим в силу со дня опубликования, вышеуказанный Перечень дополнен локомотивами железнодорожными, вагонами и частями железнодорожных локомотивов или подвижного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24 марта 1998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нормативных правовых актах" (далее - Закон) все нормативные правовые акты имеют прямое действие, если иное не оговорено в самих нормативных правовых актах или актах о введении их в действие. Для применения нормативных правовых актов, вступивших в силу, не требуется каких-либо дополнительных указаний. Если в самом нормативном правовом акте указано,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какая-либо его норма права применяется на основе дополнительного нормативного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акта, то эта норма применяется в соответствии с основным и дополнительным нормативным правовым актом. До принятия дополнительного нормативного правового акта действуют нормативные правовые акты, ранее регулировавшие соответствующие отношения.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изложенным, с целью недопущения ущемления экономических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внешнеэкономической деятельности, в данном случае импортеров локомотивов железнодорожных и вагонов, возможно применение с 1 января 2004 года метода зачета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уплате НДС при ввозе указанных товаров, прямо предусмотренное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>
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нормативным правовым актом более высокого уровня в иерархии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