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411" w14:textId="efb0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части первой статьи 136, части четвертой статьи 140, части первой статьи 153 и частей первой, второй, третьей и четвертой статьи 342 Уголовно-процессуального кодекса Республики Казахстан от 4 июля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10 июня 2026 года № 85-НП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ИМЕНЕМ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 и Ударцева С.Ф., с участием: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субъектов обращений Калиева А.А. и Пархоменко А.Г. и их представителей – адвокатов Айдарбекова М.Т. и Попова И.В.,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директора Департамента законодательства в сфере общественного порядка Сулейменова Д.А.,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первого заместителя Председателя Комитета уголовно-исполнительной системы Рыспаева Н.К.,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старшего помощника Генерального Прокурора Республики Казахстан по особым поручениям Адамова Т.Б.,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Жумагалиқызы Г.,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– заместителя руководителя Сабирова А.Ж.,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члена Научно-консультативного cовета Налибаева М.Н.,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Академии правоохранительных органов при Генеральной прокуратуре Республики Казахстан – профессора Института послевузовского образования Хана В.В.,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обращения о проверке на соответствие Конституции Республики Казахстан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частей первой,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докладчиков – судей Конституционного Суда Республики Казахстан Ескендирова А.К. и Жакипбаева К.Т., участников заседания и эксперта – кандидата юридических наук, доцента, профессора Частного учреждения "Академия "Bolashaq" Хана А.Л.,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поступили обращения о рассмотрении на соответствие Конституции Республики Казахстан (далее – Конституция, Основной Закон)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частей первой,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обращения Калиева А.А. следует, что во время главного судебного разбирательства по обвинению в совершении тяжкого преступления он содержался под стражей. Шестимесячный срок данной меры пресечения, исчисляемый со дня поступления дела в суд, истек 29 апреля 2025 года, но он был продлен судом только 6 мая 2025 года.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Пархоменко А.Г. в своем обращении указывает на то, что обвинялся в совершении тяжкого преступления. Уголовное дело поступило в суд первой инстанции 4 июня 2024 года и во время главного судебного разбирательства он содержался под стражей. 3 июня 2025 года судом первой инстанции данная мера пресечения изменена на домашний арест в связи с истечением двенадцатимесячного срока содержания под стражей со дня поступления дела в суд. При этом суд установил ряд ограничений и обязанностей, разъяснив, что в случае их неисполнения подсудимым мера пресечения может быть изменена вновь на содержание под стражей. Судом апелляционной инстанции частная жалоба о несогласии с указанным разъяснением суда не была удовлетворена, постановление суда первой инстанции оставлено без изменения.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обращений считают, что в нарушение положений Конституции оспариваемые нормы УПК допускают возможность содержания подсудимого под стражей после истечения установленного срока.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оспариваемых уголовно-процессуальных норм Конституционный Суд исходит из следующего.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Конституция провозглашает, что человек, его жизнь, права и свободы являются высшими ценностями государства (пункт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права и свободы человека принадлежат каждому от рождения, признаются абсолютными и неотчуждаемыми, определяют содержание и применение законов и иных нормативных правовых актов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каждый имеет право на судебную защиту своих прав и свобод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), каждый имеет право на личную свободу. Арест и содержание под стражей допускаются только в предусмотренных законом случаях и лишь с санкции суда с предоставлением арестованному права обжалования. Без санкции суда лицо может быть подвергнуто задержанию на срок не более семидесяти двух часов (</w:t>
      </w:r>
      <w:r>
        <w:rPr>
          <w:rFonts w:ascii="Times New Roman"/>
          <w:b w:val="false"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Основного Закона судья при отправлении правосудия независим и подчиняется только Конституции и закону.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конституционные положения обязывают государство обеспечить эффективные гарантии соблюдения права на личную свободу на всех стадиях уголовного процесса, включая судебное разбирательство.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136 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мера пресечения может быть применена при наличии достаточных оснований полагать, что лицо скроется от органов уголовного преследования или суда либо воспрепятствует объективному расследованию дела или его разбирательству в суде, либо будет продолжать заниматься преступной деятельностью.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предусматривает возможность применения более строгой меры пресечения в случае совершения подозреваемым (обвиняемым) действий, нарушающих ограничения и обязанности, предусмотренные в нормах УПК применительно к соответствующей мере пресечения, о чем должно быть объявлено при вручении ему копии соответствующего постановления.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мера пресечения отменяется, когда в ней отпадает необходимость, или изменяется на менее или более строгую, когда изменяются соответствующие основания и обстоятельства.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Статья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регламентирует решение вопроса о мере пресечения в отношении подсудимого во время главного судебного разбирательства. Суд вправе избрать, изменить, отменить или продлить меру пресечения в отношении подсудимого (часть первая).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общему правилу, установленному в </w:t>
      </w:r>
      <w:r>
        <w:rPr>
          <w:rFonts w:ascii="Times New Roman"/>
          <w:b w:val="false"/>
          <w:i w:val="false"/>
          <w:color w:val="000000"/>
          <w:sz w:val="28"/>
        </w:rPr>
        <w:t>статье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срок содержания под стражей подсудимого в качестве меры пресечения со дня поступления дела в суд и до вынесения приговора не может превышать шесть месяцев (часть вторая). Вместе с тем по делам о тяжких преступлениях по истечении шестимесячного срока суд вправе продлить срок содержания под стражей до двенадцати месяцев (часть третья). После истечения двенадцатимесячного срока содержания под стражей по делам о тяжких преступлениях суд должен изменить подсудимому меру пресечения на домашний арест или иную меру пресечения (часть четвертая).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прямо не определены цели применения мер пресечения.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основания для применения мер пресечения одновременно представляют собой легитимные цели, достижение которых обосновывает правомерность временного ограничения прав и свобод подозреваемого (обвиняемого, подсудимого). Применительно к иным мерам процессуального принуждения законодатель прямо конкретизировал, что целями их применения являются обеспечение предусмотренного УПК порядка расследования, судебного разбирательства по уголовным делам, надлежащего исполнения приговора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мер пресечения способствует решению задач уголовного процесса путем применения к подозреваемому (обвиняемому, подсудимому) государственного принуждения органами уголовного преследования и судом в период досудебного и судебного разбирательства. Каждая мера пресечения, в особенности наиболее строгая из них – содержание лица под стражей, глубоко затрагивает сферу прав, свобод и законных интересов личности, поэтому данный институт требует ясной, определенной и предсказуемой регламентации на уровне закона и его применения с учетом особенностей разных стадий уголовного процесса.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ранее отметил, что при принятии и применении нормативных правовых актов права и свободы человека имеют первостепенное значение (нормативное постановление от 3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>54-НП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статей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подсудимый имеет право получить копии ходатайства и постановления об избрании и продлении срока меры пресечения, приносить жалобы на действия (бездействие) и решения следователя, дознавателя, прокурора и суда, защищать свои права и законные интересы иными способами, не противоречащими закону.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заключения под стражу подозреваемого, обвиняемого по одному и тому же делу, а также соединенному с этим или выделенному из него уголовному делу срок содержания под стражей исчисляется с учетом времени, проведенного под стражей (часть девятая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истечении установленного законом срока содержания под стражей соответствующее решение об освобождении подозреваемого, обвиняемого либо о продлении срока их содержания под стражей не поступило, руководитель администрации места содержания под стражей освобождает их своим постановлением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уголовном судопроизводстве судья обязан соблюдать конституционные принципы правосудия и иные положения Основного Закона, а также реализующие их принципы и нормы УПК.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"Нарушение принципов уголовного процесса в зависимости от его характера и существенности влечет признание процессуального действия или решения незаконным, отмену вынесенных в ходе такого производства решений либо признание собранных при этом материалов не имеющими силы доказательств или состоявшегося производства по делу недействительным"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Законность как принцип уголовного процесса лежит в основе деятельности суда, прокурора, следователя, органа дознания и дознавателя, которые обязаны точно соблюдать требования Конституции, УПК и иного законодательства, определяющего порядок уголовного судопроизводства. Нарушение закона при производстве по уголовным делам недопустимо и влечет за собой установленную законом ответственность, признание недействительными незаконных судебных актов и их отмену. В случаях коллизии норм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применению те из них, которые соответствуют принципам уголовного процесса, а при отсутствии в нормах соответствующей регламентации вопросы судопроизводства разрешаются непосредственно на основе принципов уголовного процесса (части первая, третья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применении меры пресечения орган, ведущий уголовный процесс, выносит постановление, содержащее указание на уголовное правонарушение, в котором подозревается, обвиняется лицо, и основания для применения этой меры пресечения. Копия постановления вручается лицу, в отношении которого оно вынесено, и одновременно ему разъясняется порядок обжалования решения о применении меры пресечения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закон требует процессуального оформления меры пресечения до ее применения. Следовательно, исходя из конституционно-правового смысла гарантии права на личную свободу решение вопроса о продлении срока применения меры пресечения или ее отмене (изменении) также должно быть процессуально оформлено до истечения ранее установленного срока.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в нормативном постановлении от 18 июля 2025 года № </w:t>
      </w:r>
      <w:r>
        <w:rPr>
          <w:rFonts w:ascii="Times New Roman"/>
          <w:b w:val="false"/>
          <w:i w:val="false"/>
          <w:color w:val="000000"/>
          <w:sz w:val="28"/>
        </w:rPr>
        <w:t>73-НП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признал не соответствующей Конституции часть пятую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части слов ", продлить срок применения меры пресечения, если он к этому моменту истек" и указал: "Законодательные нормы не должны приводить к ситуации, при которой подозреваемый (обвиняемый, подсудимый) содержится под стражей сверх срока, установленного в судебном решении, что нарушает его конституционное право на личную свободу. Применение такой меры пресечения является произвольным даже в коротком временном промежутке между судебными решениями, если нет соответствующего продления срока судебным актом".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настоящего конституционного производства выявлены схожие недостатки законодательного регулирования продления срока содержания под стражей подсудимого уже во время главного судебного разбирательства. Конституционный Суд отмечает, что слова "по истечении срока, указанного в части второй настоящей статьи,"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могут пониматься судами как обязательность решения вопроса о продлении срока содержания подсудимого под стражей или изменении меры пресечения только тогда, когда соответствующий срок уже истек, а не перед его окончанием.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положение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 том, что суд вправе продлить срок содержания под стражей по истечении срока, указанного в части второй данной статьи, не корреспондируется с положениями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согласно которой истечение установленного законом срока содержания под стражей (если решение о продлении срока содержания под стражей не поступило в место содержания под стражей) означает наступление момента для безусловного освобождения соответствующего лица.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также обращает внимание на то, что законодатель, обозначая срок принятия судом решения о продлении срока содержания подсудимого под стражей, в тексте УПК на русском языке в частях третьей и 3-1 статьи 342 применил словосочетание "по истечении", а в части четвертой этой же статьи – словосочетание "после истечения". Вместе с тем в тексте этих норм УПК на казахском языке указанные словосочетания несут единую смысловую нагрузку: "өткеннен кейiн" (после истечения).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формулировка "по истечении срока, указанного в части второй настоящей статьи,", содержащаяся в редакции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обеспечивает необходимой правовой определенности, допуская смысловое понимание о возможности содержания подсудимого под стражей после истечения установленного судом срока, несовместимое с пунктами 1 и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Задачами уголовного процесса являются пресечение, беспристрастное, быстрое и полное раскрытие, расследование уголовных правонарушений, изобличение и привлечение к уголовной ответственности лиц, их совершивших, справедливое судебное разбирательство и правильное применение уголовного закона, защита лиц, общества и государства от уголовных правонарушений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задач должна осуществляться при соблюдении конституционных гарантий прав и свобод человека, прежде всего права на личную свободу, и является важным критерием справедливой системы уголовного судопроизводства в правовом государстве.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разъяснял, что естественное право человека на личную свободу государство обязано гарантировать через реализацию принципа неприкосновенности личности, и указывал, что "законодатель при принятии законов обязан исходить из конституционных пределов допустимого ограничения прав и свобод человека и гражданина, не искажая их сущности и не вводя ограничений, которые не согласуются с конституционно определенными нормами"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апреля 2023 года № 9).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уголовного преследования в значительной мере определяется обоснованностью применения меры пресечения на разных стадиях уголовного процесса. По мнению Конституционного Суда, практика применения судами в ходе главного судебного разбирательства норм Общей части УПК, регулирующих в основном применение меры пресечения в отношении подозреваемого (обвиняемого) на стадии досудебного производства без учета специфики законодательной регламентации сроков содержания подсудимого под стражей, может приводить к нарушению конституционного права подсудимого на личную свободу.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действенной реализации положений Конституции в УПК орган конституционного контроля ранее определил следующие правовые позиции, сохраняющие свое действие: гарантирование прав и свобод человека означает выработку комплекса мер, в том числе законодательного характера, направленных прежде всего на предотвращение самой возможности нарушения конституционных прав и свобод; в целях обеспечения правовой определенности и предсказуемости закона требуется более четкое изложение уголовно-процессуальных норм, регламентирующих вопросы содержания лица под стражей; законодательные механизмы в уголовном судопроизводстве не могут оставлять процессуальные "окна", позволяющие содержание лица под стражей даже на краткий срок без судебного решения (нормативные постановления от 29 мая 2024 года </w:t>
      </w:r>
      <w:r>
        <w:rPr>
          <w:rFonts w:ascii="Times New Roman"/>
          <w:b w:val="false"/>
          <w:i w:val="false"/>
          <w:color w:val="000000"/>
          <w:sz w:val="28"/>
        </w:rPr>
        <w:t>№ 45-НП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18 июля 2025 года № </w:t>
      </w:r>
      <w:r>
        <w:rPr>
          <w:rFonts w:ascii="Times New Roman"/>
          <w:b w:val="false"/>
          <w:i w:val="false"/>
          <w:color w:val="000000"/>
          <w:sz w:val="28"/>
        </w:rPr>
        <w:t>73-НП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Гарантируя право каждого на личную свободу, Конституция определяет пределы ограничения этого права, закрепляя, что арест и содержание под стражей допускаются только в предусмотренных законом случаях (пункт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). Конституционный Суд отмечает, что данная конституционная норма означает обязательность не только определения в законе случаев и оснований заключения лица под стражу, но и установления предельных сроков такого ограничения свободы. В связи с этим любое превышение предусмотренного в уголовно-процессуальном законе срока содержания подсудимого под стражей в качестве меры пресечения будет нарушать это конституционное право.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Двенадцатимесячный срок, предусмотренный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исчисляемый со дня поступления дела в суд и до вынесения приговора, является предельно допустимым сроком содержания подсудимого под стражей по делам о тяжких преступлениях. В этой связи толкование судом норм Общей и Особенной частей УПК как предоставляющих ему возможность повторного заключения подсудимого под стражу после истечения указанного срока противоречит пункту 2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и не соответствует принципу правовой определенности.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анализ действующего правового регулирования свидетельствует о недостаточной регламентации особенностей применения домашнего ареста или иной меры пресечения в отношении подсудимого в случаях, когда ранее уже истек предельно допустимый срок содержания подсудимого под стражей.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процессуальная ответственность за совершение подсудимым действий, нарушивших возложенные судом ограничения и обязанности, установленные в связи с изменением меры пресечения на домашний арест или иную меру пресечения, не может служить основанием для содержания подсудимого под стражей сверх предельно допустимого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. Поэтому при разъяснении подсудимому последствий нарушения возлагаемых на него ограничений (обязанностей), связанных с изменением меры пресечения на более мягкую, суд обязан учитывать фактор исчерпания предусмотренного законом предельно допустимого срока содержания подсудимого под стражей. Интерпретация в судебной практике уголовно-процессуального закона как допускающего в подобных случаях принятия судом решения о повторном содержании подсудимого под стражей приводит к расширительному толкованию норм права, что противоречит Основному Закону.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полноты и эффективности соблюдения конституционных гарантий права на личную свободу Конституционный Суд считает, что требуется более детализированное и четкое законодательное регулирование механизма гарантирования конституционного права подсудимого на личную свободу.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подпунктом 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не соответствующей Конституции Республики Казахстан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части слов "по истечении срока, указанного в части второй настоящей статьи,".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соответствующими Конституции Республики Казахстан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136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первую, вторую и четвертую </w:t>
      </w:r>
      <w:r>
        <w:rPr>
          <w:rFonts w:ascii="Times New Roman"/>
          <w:b w:val="false"/>
          <w:i w:val="false"/>
          <w:color w:val="000000"/>
          <w:sz w:val="28"/>
        </w:rPr>
        <w:t>статьи 342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в следующем истолковании: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совершение подсудимым действий, нарушивших возложенные судом ограничения и обязанности, связанные с домашним арестом или иной мерой пресечения, не может служить основанием для его повторного содержания под стражей после истечения двенадцатимесячного срока по одному и тому же уголовному делу, а также соединенному с этим или выделенному из него уголовному делу сверх предельно допустимого срока, предусмотренного уголовно-процессуальным законом.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не позднее шести месяцев со дня опубликования настоящего нормативного постановления инициировать проект закона, направленный на приведение уголовно-процессуального законодательства Республики Казахстан в соответствие с правовыми позициями Конституционного Суда Республики Казахстан, изложенными в настоящем нормативном постановлении.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