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c42" w14:textId="c37b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9) пункта 2 статьи 6 Закона Республики Казахстан от 6 января 2011 года "О правоохранительной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25 августа 2025 года № 75-НП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Нурмуханова Б.М., Онгарбаева Е.А.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Айтжанова А.М. и его представителя–адвоката Данияловой А.М.,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начальника Департамента правового обеспечения Игембаева Д.Ж.,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противодействию коррупции – руководителя Аппарата Хасенова А.А.,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начальника Департамента юридической и нормотворческой координации Зулхаирова Р.В.,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заместителя начальника Юридического департамента Мусиралиева Д.С.,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Сулейменова Д.А.,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Харесовой Н.Т.,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заместителя заведующего Отделом правовой и организационно-аналитической работы Абдрахмановой Д.Т.,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о проверке на соответствие Конституции Республики Казахстан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6 января 2011 года "О правоохранительной службе" (далее – Закон "О правоохранительной службе").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Жакипбаева К.Т. и участников заседания,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Конституция, Основной Закон)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прилагаемых к нему документов следует, что постановлением специализированного межрайонного суда по административным правонарушениям города Астаны к заявителю было применено административное взыскание за управление транспортным средством в состоянии алкогольного опьянения. За совершение данного проступка, дискредитирующего правоохранительный орган, он был уволен с правоохранительной службы по отрицательным мотивам.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бессрочный запрет на повторное поступление на правоохранительную службу для лиц, ранее уволенных по отрицательным мотивам из правоохранительных органов, предусмотренный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службе", ограничивает его конституционное право на доступ к правоохранительной службе.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рассматриваемой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правоохранительной службе" в рамках предмета обращения Конституционный Суд исходит из следующего.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закреплено, что граждане Республики имеют равное право на доступ к государственной службе. Требования, предъявляемые к кандидату на должность государственного служащего, обуславливаются только характером должностных обязанностей и устанавливаются законом.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обязан соблюдать Конституцию и законодательство Республики Казахстан, уважать права, свободы, честь и достоинство других лиц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Конституции).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 осуществление прав и свобод человека и гражданина не должно нарушать прав и свобод других лиц, посягать на конституционный строй и общественную нравственность.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Конституции). Право, предусмотренное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не отнесено к числу прав и свобод, которые ни в каких случаях не подлежат ограничению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Суд ранее при проверке конституционности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 рассматривал данную норму применительно к предмету соответствующего обращения в части правового ограничения при поступлении на правоохранительную службу лиц, ранее уволенных с воинской службы за отсутствие на службе без уважительной причины в течение трех и более часов подряд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августа 2023 года № 27-НП). Орган конституционного контроля исходил из характера данного вида дисциплинарного проступка военнослужащего, не распространяя такой вывод на случаи совершения сотрудниками проступков, дискредитирующих правоохранительный орган и являющихся основанием для увольнения с правоохранительной службы по отрицательным мотивам.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своих решениях последовательно обосновывает правовую позицию о конституционности установленных в законах требований соблюдения этического поведения должностными лицами и о праве государства устанавливать для кандидатов при их поступлении на государственную службу ограничения, связанные с необходимостью обеспечения эффективности деятельности государственного аппарата, доверия народа как единственного источника государственной власти, в целях недопущения злоупотребления предоставленными полномочиями. Конституционный Суд также разъяснял, что законодатель вправе устанавливать повышенные требования к репутации государственных служащих, чтобы у граждан не возникали сомнения в безупречности их морально-нравственных качеств и, соответственно, законности принимаемых ими решений, связанных с реализацией публичной власти (нормативные постановления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26-НП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57-НП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Отмеченные правовые подходы Конституционного Суда имеют важное значение при проверке законодательных норм, регламентирующих вопросы формирования кадров правоохранительных органов. Правоохранительная служба по своему содержанию и функциям представляет собой особый вид публично-правовой деятельности, непосредственно связанной с реализацией властных полномочий государства, в том числе возможностью ограничения прав и свобод личности, применения огнестрельного и иного оружия, специальных средств, физической силы, мер государственного принуждения, участия в уголовном преследовании и обеспечении правопорядка.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Специфика правоохранительной службы и характер должностных обязанностей ее сотрудников обуславливают повышенные критерии отбора кандидатов на соответствующие должности, что правомерно с позиции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 Эти особенности определяют наличие высоких квалификационных и нравственных требований к формированию кадров правоохранительной службы.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сотрудников, связанные с прохождением правоохранительной службы, закреплены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правоохранительной службе". В частности, сотрудники обязаны соблюдать Конституцию и законодательство Республики Казахстан, а также требования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(далее – Этический кодекс).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Этический кодекс предписывает сотрудникам не допускать совершения действий, способных дискредитировать Республику Казахстан, государственную власть, правоохранительный орган, вызывающих негативный общественный резонанс, воздерживаться от поведения, которое может навредить их репутации (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тексту присяги сотрудников правоохранительных органов Республики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2022 года № 61, каждый сотрудник правоохранительных органов обязуется быть образцом моральной чистоты, скромности, дорожить своей профессиональной честью, высоким званием сотрудника правоохранительного органа.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сотрудником правоохранительного органа проступка в состоянии алкогольного и (или) наркотического, и (или) психотропного, и (или) токсикоманического опьянения признается обстоятельством, отягчающим его дисциплинарную ответственность (подпункт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"О правоохранительной службе").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Увольнение с правоохранительной службы по отрицательным мотивам может быть связано не только с должностными нарушениями, но и с совершением проступков, не связанных с исполнением служебных обязанностей, однако подрывающих достоинство и авторитет правоохранительной службы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"О правоохранительной службе").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повышенных требований к поведению сотрудника на службе и в быту,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каждое лицо, проходившее ранее правоохранительную службу и, соответственно, принимавшее присягу, должно осознавать серьезность правовых последствий совершения им проступка, дискредитирующего правоохранительный орган.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дифференцированное законодательное регулирование условий поступления на разные виды государственной службы не может считаться дискриминацией, нарушающей конституционные положения о равенстве всех перед законом и судом, если оно имеет объективное и разумное обоснование, вытекающее из различий в правовом статусе и функциях государственных органов.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 вправе предъявлять к кандидатам из числа бывших сотрудников, вновь поступающих на правоохранительную службу, повышенные требования, основанные на объективных признаках и связанные со спецификой службы, которые служат цели обеспечения кадровой чистоты правоохранительных органов, направлены на укрепление общественного доверия к данным органам и не превышают конституционно допустимых пределов.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Конституционный Суд не усматривает противоречия рассматриваемой нормы конституционным положениям в части недопустимости поступления на правоохранительную службу граждан, ранее уволенных по отрицательным мотивам за совершение проступков, дискредитирующих правоохранительный орган.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Признавая конституционность нормы, устанавливающей ограничение на повторное поступление на правоохранительную службу для некоторых бывших сотрудников правоохранительных органов, Конституционный Суд отмечает недостаточную проработанность вопросов отнесения случаев совершения отдельных проступков к основаниям для увольнения по отрицательным мотивам из правоохранительного органа.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(далее – Закон "О специальных государственных органах") показывает наличие в них единого запрета зачисления на службу в правоохранительные или специальные государственные органы бывших сотрудников таких органов, уволенных по отрицательным мотивам.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регламентирования правоохранительной службы законодатель не относит управление сотрудником специального государственного органа транспортным средством в состоянии алкогольного опьянения к проступкам, дискредитирующим службу в специальных государственных органах, и данный проступок не является безусловным основанием для увольнения такого сотрудника по отрицательным мотивам (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"О специальных государственных органах").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Суд, отмечая указанное отсутствие взаимной согласованности предметно связанных между собой положений названных законов, полагает, что требуется совершенствование их норм в части отнесения либо убедительного обоснования неотнесения отдельных видов проступков, совершенных сотрудниками, к категории дискредитирующих правоохранительный или специальный государственный орган, а также являющихся основанием для увольнения со службы по отрицательным мотивам.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конституционного производства не установлены разумное объяснение и конкретные критерии выборочного отнесения отдельного административного правонарушения к основаниям увольнения сотрудника с правоохранительной службы по отрицательным мотивам при наличии значительного числа других административных правонарушений, не отнесенных к таким основаниям, но влекущих не менее строгую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года, совершение которых потенциально может дискредитировать правоохранительный орган.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 в части недопустимости приема на правоохранительную службу лиц, ранее уволенных по отрицательным мотивам за совершение проступков, дискредитирующих правоохранительный орган.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рассмотреть вопрос о дальнейшем совершенствовании законодательства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