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e09c" w14:textId="63e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конституционной законности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Суда Республики Казахстан от 18 июня 2024 года № ПКС –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Конституции Республики Казахстан подготовлено настоящее Послание Конституционного Суда Республики Казахстан о состоянии конституционной законности в Республике Казахстан в 2023 году.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Инициированная в стране конституционная реформа создала необходимые законодательные условия для продолжения демократического развития, защиты прав человека и укрепления верховенства права.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конституционно обязательным содержанием закона и практики его применения гарантирует формирование культуры уважения закона и доверия к государственной власти, конституционной законности и порядка. Утверждение конституционной законности преследует задачи выполнения государством всех принятых обязательств, поддержания стабильности соблюдения прав и обязанностей граждан, предоставления каждому возможности реализовать право на судебную защиту, соразмерности ограничения прав и свобод человека и гражданина, конституционно-правовой ответственности государства перед личностью в случае ненадлежащего исполнения принятых обязательств.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конституционной законности в Республике Казахстан является непременным условием стабильного развития и укрепления ее государственности. Основной Закон создает конституционно-правовые основы демократизации и правовой дисциплины государственных органов, повышения социальной роли и расширения обязанностей государства, всесторонней защиты прав и свобод человека.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Конституционные ориентиры и ценности, определенные по результатам республиканского референдума, нашли логическое и последовательное отражение в законодательных и иных нормативных правовых актах. В 2023 году была продолжена деятельность по правовой модернизации общества и государства, дальнейшему укреплению конституционной законности в стране.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Конституционного Суда и наделение граждан правом обращения о проверке конституционности закона или иного нормативного правового акта, который был применен в конкретном деле с их участием, являются важными средствами достижения верховенства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Право обращения в Конституционный Суд гражданина, Генерального Прокурора и Уполномоченного по правам человека расширило возможности конституционного контроля.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полномочий Парламента и его Палат, введение мажоритарной избирательной системы способствовали активизации работы депутатов по инициированию важных законопроектов и рассмотрению актуальных вопросов развития страны. Новые принципы формирования состава маслихатов всех уровней позволили повысить степень выражения воли населения в местном государственном управлении.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законы по вопросам развития системы государственного управления, перераспределения полномочий между ее уровнями конкретизировали компетенцию государственных органов, усилили самостоятельность и ответственность их руководителей.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Выборы акимов отдельных районов и городов областного значения содействовали развитию инициативы на местном уровне, расширили участие граждан в политическом процессе и возможности их влияния на представителей власти. Формула "Сильные регионы – сильная страна" наполняется новым содержанием.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граждан в управлении делами государства реализуется в таких современных и востребованных формах выражения общественной инициативы, как общественный контроль и петиции.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интересах нынешнего и будущего поколений казахстанцев, в целях обеспечения верховенства права и социальной справедливости в Республике Казахстан продолжается работа в соответствии с принятым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возврате государству незаконно приобретенных активов".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результатом кодификации социального законодательства страны и модернизации системы социального страхования с участием государства, работодателя и гражданина, а также внедрения социальной превенции и цифровизации социальной сферы.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конституционной гарантии защиты детства стало принятие закона об обязательных выплатах детям из Национального фонда.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внимание государства в нормотворческом процессе правозащитным механизмам и системе защиты прав и свобод человека и гражданина дополнительно подкреплено принятием Главой государства плана действий в области прав человека и верховенства закона с вовлечением в этот процесс гражданского общества.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2023 года в орган конституционного контроля поступили 5303 обращения, из которых 5293 обращения граждан и 10 обращений государственных органов и должностных лиц.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обращались относительно проверки конституционности отдельных положений пенсионного законодательства,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и нормативных постановлений Верховного Суда.  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наибольшее количество обращений граждан содержало просьбу об отмене или пересмотре решений судов общей юрисдикции, о проверке законности досудебного расследования и иных действий (бездействия) сотрудников правоохранительных органов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Иными словами, предмет таких обращений не входил в компетенцию Конституционного Суда, а подлежал рассмотрению в судах общей юрисдикции или в других государственных органах. Тем не менее некоторые вопросы, поднимаемые в обращениях, требуют отдельного изучения, а именно: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ненадлежащего декларирования имущества и порядок уплаты (возврата) избирательного взноса при реализации гражданами пассивного избирательного права;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давности в отношении возврата ошибочно уплаченной государственной пошлины в судах;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конструкция состава уголовного правонарушения, выражающегося в посягательстве на неприкосновенность жилища;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пресекательный срок (1 год) для выплаты единовременной компенсации при установлении инвалидности сотрудникам правоохранительных органов;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в доход государства предмета контрабанды (незадекларированного имущества) при законности его приобретения и владения;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безвозмездное получение в собственность занимаемого жилища из государственного жилищного фонда гражданами, воспитывающими детей с инвалидностью;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возмещения стоимости принудительно изъятого земельного участка при невозможности его реализации;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исчисления выслуги лет военнослужащим при реализации права на компенсацию взамен приватизации жилища, например, зачета срока службы в других государствах, и другие.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показала практика, нередко граждане, обратившиеся в Конституционный Суд, не смогли своевременно воспользоваться доступными правовыми инструментами из-за отсутствия необходимой осведомленности о действующих правозащитных институтах либо недоверия к ним.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ключе Правительству и уполномоченным государственным органам в рамках своей компетенции целесообразно активизировать праворазъяснительную работу с целью повышения информированности граждан обо всех действующих правовых механизмах защиты их прав и обеспечить регулярный мониторинг качества данной деятельности.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граждан о проверке конституционности нормативных правовых актов должны отвечать всем критериям допустимости, прямо установленным конституционным законом, и содержать юридически четко сформулированную и обоснованную позицию. В целях соблюдения этого требования созданы условия для проведения регулярных юридических консультаций и разъяснительной работы, оказания квалифицированной юридической помощи.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роль в достижении обозначенной цели играют адвокаты и юридические консультанты, имеющие право представлять граждан в Конституционном Суде. Вместе с тем закрепленное в конституционном законе обязательство государства по предоставлению гарантированной юридической помощи для социально уязвимых групп граждан при их обращении о проверке конституционности нормативных правовых актов или отдельных их положений должно получить логическое завершение на уровне отраслевого закона.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практическом плане Конституционный Суд активно взаимодействует с профессиональным юридическим сообществом и принимает меры по повышению правовой осведомленности граждан об условиях обращения в Конституционный Суд, в том числе путем оказания консультационных услуг в Центре приема граждан и внедрения информационно-коммуникационных технологий.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прозрачности конституционного производства и своевременному обязательному информированию широкой общественности об итоговых решениях Конституционного Суда. Обеспечено их доведение до международного юридического и экспертного сообщества путем размещения в базе данных CODICES Европейской комиссии за демократию через право Совета Европы (Венецианской комиссии).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Сайт Конституционного Суда содержит информацию о рассматриваемых делах по принятым к конституционному производству обращениям.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Конституционный Суд нацелен на дальнейшее обеспечение информационной прозрачности и доступности своей работы. Понимание обществом, органами государственной власти и гражданами значения соблюдения и исполнения конституционных норм и принципов служит гарантией конституционной законности и устойчивости развития общества.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II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Рассмотренные в конституционном производстве обращения касались различных отраслей права.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Проверке подверглись нормы конституционных законов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судебной системе и статусе судей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(Налогового кодекса),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>; законов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отдельные положения нормативных постановлений Верховного Суда.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прошедшем году Конституционным Судом приняты 38 нормативных постановлений, являющихся общеобязательными на всей территории страны, окончательными и не подлежащими обжалованию. Признаны конституционными 24 нормы законов, 12 – соответствующими Конституции в данном Конституционным Судом истолковании и 8 – не соответствующими Основному Закону.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 закрепленные права и свободы человека и гражданина определяют содержание законов и иных нормативных правовых актов. К числу основных подходов разработки нормативных правовых актов относятся: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баланса интересов гражданина, общества и государства;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эффективности деятельности государственных органов и исключение злоупотребления правом при правовом регулировании;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разумность и недопустимость дискриминации в дифференциации прав граждан;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смысловой идентичности законов на казахском и русском языках;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формальная определенность и юридическая точность правовых норм, исключающие возможность их произвольной интерпретации;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пробелов законодательства, препятствующих реализации прав человека.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Обозначенные конституционные требования и принципы не всегда соблюдаются участниками нормотворческого процесса.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неоднократно отмечал, что основания и пределы ограничительных мер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Конституции, согласно которому "права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населения".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 при принятии таких законов обязан исходить из конституционных пределов допустимого ограничения прав и свобод человека и гражданина, не искажая существа конституционных прав и свобод и не вводя ограничений, не согласующихся с конституционно определенными целями.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законодательные ограничения прав и свобод человека должны быть адекватными законно обоснованным целям и отвечать требованиям справедливости, пропорциональности и соразмерности.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Межотраслевая дифференциация ответственности за тождественные или однородные деяния основана и на том, что уголовно-правовые, административно-правовые и иные меры воздействия, характер и строгость их последствий должны соответствовать тяжести совершенного правонарушения, а также отвечать требованиям взаимной согласованности предметно связанных между собой норм различной отраслевой принадлежности</w:t>
      </w:r>
      <w:r>
        <w:rPr>
          <w:rFonts w:ascii="Times New Roman"/>
          <w:b w:val="false"/>
          <w:i/>
          <w:color w:val="000000"/>
          <w:sz w:val="28"/>
        </w:rPr>
        <w:t xml:space="preserve"> (нормативные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постановления Конституционного Суда </w:t>
      </w:r>
      <w:r>
        <w:rPr>
          <w:rFonts w:ascii="Times New Roman"/>
          <w:b w:val="false"/>
          <w:i/>
          <w:color w:val="000000"/>
          <w:sz w:val="28"/>
        </w:rPr>
        <w:t>2023 года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/>
          <w:color w:val="000000"/>
          <w:sz w:val="28"/>
        </w:rPr>
        <w:t xml:space="preserve"> от 22 февраля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/>
          <w:color w:val="000000"/>
          <w:sz w:val="28"/>
        </w:rPr>
        <w:t xml:space="preserve">, от 6 марта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/>
          <w:color w:val="000000"/>
          <w:sz w:val="28"/>
        </w:rPr>
        <w:t xml:space="preserve">, от 27 марта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/>
          <w:color w:val="000000"/>
          <w:sz w:val="28"/>
        </w:rPr>
        <w:t>, от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апреля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/>
          <w:color w:val="000000"/>
          <w:sz w:val="28"/>
        </w:rPr>
        <w:t xml:space="preserve">, от 18 мая </w:t>
      </w:r>
      <w:r>
        <w:rPr>
          <w:rFonts w:ascii="Times New Roman"/>
          <w:b w:val="false"/>
          <w:i w:val="false"/>
          <w:color w:val="000000"/>
          <w:sz w:val="28"/>
        </w:rPr>
        <w:t>№ 14-НП</w:t>
      </w:r>
      <w:r>
        <w:rPr>
          <w:rFonts w:ascii="Times New Roman"/>
          <w:b w:val="false"/>
          <w:i/>
          <w:color w:val="000000"/>
          <w:sz w:val="28"/>
        </w:rPr>
        <w:t xml:space="preserve">, от 13 июня </w:t>
      </w:r>
      <w:r>
        <w:rPr>
          <w:rFonts w:ascii="Times New Roman"/>
          <w:b w:val="false"/>
          <w:i w:val="false"/>
          <w:color w:val="000000"/>
          <w:sz w:val="28"/>
        </w:rPr>
        <w:t>№ 19-НП</w:t>
      </w:r>
      <w:r>
        <w:rPr>
          <w:rFonts w:ascii="Times New Roman"/>
          <w:b w:val="false"/>
          <w:i/>
          <w:color w:val="000000"/>
          <w:sz w:val="28"/>
        </w:rPr>
        <w:t>, от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декабря </w:t>
      </w:r>
      <w:r>
        <w:rPr>
          <w:rFonts w:ascii="Times New Roman"/>
          <w:b w:val="false"/>
          <w:i w:val="false"/>
          <w:color w:val="000000"/>
          <w:sz w:val="28"/>
        </w:rPr>
        <w:t>№ 38-НП</w:t>
      </w:r>
      <w:r>
        <w:rPr>
          <w:rFonts w:ascii="Times New Roman"/>
          <w:b w:val="false"/>
          <w:i/>
          <w:color w:val="000000"/>
          <w:sz w:val="28"/>
        </w:rPr>
        <w:t xml:space="preserve"> и другие).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этих позиций Конституционным Судом признаны не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ограничения, установленные для кандидатов при поступлении на различные виды государственной службы;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преследующий конституционных целей запрет на осуществление права на свободу предпринимательской деятельности для лиц, приравненных к лицам, уполномоченным на выполнение государственных функций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подпункты 6) и 14)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/>
          <w:color w:val="00000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 "О противодействии коррупции", подпункт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/>
          <w:color w:val="000000"/>
          <w:sz w:val="28"/>
        </w:rPr>
        <w:t xml:space="preserve"> Закона Республики Казахстан "О воинской службе и статусе военнослужащих" и подпункт 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/>
          <w:color w:val="000000"/>
          <w:sz w:val="28"/>
        </w:rPr>
        <w:t xml:space="preserve"> Закона Республики Казахстан "О правоохранительной службе").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миссии государственной службы государство вправе определять для граждан правила поступления на государственную службу и ее прохождения, включая требования к кандидатам и соответствующие ограничения, с целью обеспечения эффективности деятельности государственного аппарата, повышения доверия народа и недопущения злоупотребления полномочиями. При установлении запретов на поступление на государственную службу следует обеспечить соразмерность правовых ограничений, вытекающих из мер дисциплинарной, административной и уголовной ответственности за правонарушения против интересов государственной службы и государственного управления.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права на свободу предпринимательской деятельности для лиц, приравненных к лицам, уполномоченным на выполнение государственных функций, должно быть обусловлено целями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должны быть дифференцированы и обусловлены характером должностных обязанностей, направлены на недопущение использования своих полномочий в личных, групповых и иных неслужебных интересах. Поэтому целесообразно рассмотреть вопрос о принятии нормативного правового акта, регламентирующего вопросы передачи имущества в доверительное управление </w:t>
      </w:r>
      <w:r>
        <w:rPr>
          <w:rFonts w:ascii="Times New Roman"/>
          <w:b w:val="false"/>
          <w:i/>
          <w:color w:val="000000"/>
          <w:sz w:val="28"/>
        </w:rPr>
        <w:t xml:space="preserve">(нормативное постановление Конституционного Суда от 13 </w:t>
      </w:r>
      <w:r>
        <w:rPr>
          <w:rFonts w:ascii="Times New Roman"/>
          <w:b w:val="false"/>
          <w:i/>
          <w:color w:val="000000"/>
          <w:sz w:val="28"/>
        </w:rPr>
        <w:t xml:space="preserve">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19-НП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наличием пробелов в правовом регулировании, противоречий между кодексами и отраслевыми законами, выявлением юридической неточности и смысловой неидентичности текстов на казахском и русском языках признаны неконституционными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482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 части рассмотрения жалоб осужденных </w:t>
      </w:r>
      <w:r>
        <w:rPr>
          <w:rFonts w:ascii="Times New Roman"/>
          <w:b w:val="false"/>
          <w:i/>
          <w:color w:val="000000"/>
          <w:sz w:val="28"/>
        </w:rPr>
        <w:t xml:space="preserve">(нормативное постановление от </w:t>
      </w:r>
      <w:r>
        <w:rPr>
          <w:rFonts w:ascii="Times New Roman"/>
          <w:b w:val="false"/>
          <w:i/>
          <w:color w:val="000000"/>
          <w:sz w:val="28"/>
        </w:rPr>
        <w:t xml:space="preserve">25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29-НП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. Отсутствие у осужденного возможности пользоваться услугами адвоката в части подачи последним жалоб в защиту прав и интересов такого лица на стадии исполнения приговора не может расцениваться как особенность уголовного процесса, поскольку ограничивает защиту человека, его жизни, прав и свобод, гарантированных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внесения требующихся изменений непосредственно применяются соответствующие нормы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конституционного производства выявлено несоответствие принципу разделения единой государственной власти на законодательную, исполнительную и судебную ветви и взаимодействия их между собой с использованием системы сдержек и противовесов. Конституционный Суд в своем решении указал, что разъяснения по вопросам судебной практики не должны противоречить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законам Республики Казахстан и пересекать границу компетенции других высших органов государства, в частности законодателя, а также содержать нормы об ограничениях прав и свобод физических лиц (</w:t>
      </w:r>
      <w:r>
        <w:rPr>
          <w:rFonts w:ascii="Times New Roman"/>
          <w:b w:val="false"/>
          <w:i/>
          <w:color w:val="000000"/>
          <w:sz w:val="28"/>
        </w:rPr>
        <w:t>н</w:t>
      </w:r>
      <w:r>
        <w:rPr>
          <w:rFonts w:ascii="Times New Roman"/>
          <w:b w:val="false"/>
          <w:i/>
          <w:color w:val="000000"/>
          <w:sz w:val="28"/>
        </w:rPr>
        <w:t xml:space="preserve">ормативное постановление от 1 июня </w:t>
      </w:r>
      <w:r>
        <w:rPr>
          <w:rFonts w:ascii="Times New Roman"/>
          <w:b w:val="false"/>
          <w:i/>
          <w:color w:val="000000"/>
          <w:sz w:val="28"/>
        </w:rPr>
        <w:t xml:space="preserve">2023 года </w:t>
      </w:r>
      <w:r>
        <w:rPr>
          <w:rFonts w:ascii="Times New Roman"/>
          <w:b w:val="false"/>
          <w:i w:val="false"/>
          <w:color w:val="000000"/>
          <w:sz w:val="28"/>
        </w:rPr>
        <w:t>№ 18-НП</w:t>
      </w:r>
      <w:r>
        <w:rPr>
          <w:rFonts w:ascii="Times New Roman"/>
          <w:b w:val="false"/>
          <w:i/>
          <w:color w:val="000000"/>
          <w:sz w:val="28"/>
        </w:rPr>
        <w:t xml:space="preserve">).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реализацию решения Конституционного Суда Верховный Суд исключил из своего нормативного постановления императивное требование о наличии заключения молекулярно-генетической экспертизы, прилагаемого к заявлению в суд, при рассмотрении дел об усыновлении ребенка, родившегося вне брака.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правового регулирования общественных отношений зависит не только от качества действующего права, но и правильного толкования его положений. Законодатель наделил Конституционный Суд правом принятия такого вида решения наряду с признанием закона или его отдельных положений конституционными или неконституционными. В этом особенность казахстанского контроля за соблюдением конституционной законности, предоставляющая возможность обеспечить единообразное понимание правовой нормы и ее применение в строгом соответствии с Основным Законом.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истолкование дано в 12 нормативных постановлениях Конституционного Суда, касающихся: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пенсионных выплат за выслугу лет;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ограничений в связи с мерой пресечения в виде домашнего ареста;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привлечения специалиста в уголовном процессе;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истребования материалов уголовного дела при предварительном рассмотрении ходатайства о пересмотре вступивших в законную силу судебных актов;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пересмотра дела по вновь открывшимся обстоятельствам при сокращенном производстве по делам об административных правонарушениях;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уголовной ответственности за незаконный оборот нефти и нефтепродуктов;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участия осужденного в групповом неповиновении, сопряженного с умышленным причинением себе какого-либо повреждения;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обжалования судебных актов по административным делам;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на трудоустройство в субъекты квазигосударственного сектора лица, совершившего коррупционное преступление;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последствий прекращения полномочий судей в силу профессиональной непригодности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нормативные постановления </w:t>
      </w:r>
      <w:r>
        <w:rPr>
          <w:rFonts w:ascii="Times New Roman"/>
          <w:b w:val="false"/>
          <w:i/>
          <w:color w:val="000000"/>
          <w:sz w:val="28"/>
        </w:rPr>
        <w:t>2023 года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27 марта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/>
          <w:color w:val="000000"/>
          <w:sz w:val="28"/>
        </w:rPr>
        <w:t xml:space="preserve">, от 11 апреля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/>
          <w:color w:val="000000"/>
          <w:sz w:val="28"/>
        </w:rPr>
        <w:t xml:space="preserve">, от 28 апреля </w:t>
      </w:r>
      <w:r>
        <w:rPr>
          <w:rFonts w:ascii="Times New Roman"/>
          <w:b w:val="false"/>
          <w:i w:val="false"/>
          <w:color w:val="000000"/>
          <w:sz w:val="28"/>
        </w:rPr>
        <w:t>№ 12-НП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от 16 мая </w:t>
      </w:r>
      <w:r>
        <w:rPr>
          <w:rFonts w:ascii="Times New Roman"/>
          <w:b w:val="false"/>
          <w:i w:val="false"/>
          <w:color w:val="000000"/>
          <w:sz w:val="28"/>
        </w:rPr>
        <w:t>№ 13-НП</w:t>
      </w:r>
      <w:r>
        <w:rPr>
          <w:rFonts w:ascii="Times New Roman"/>
          <w:b w:val="false"/>
          <w:i/>
          <w:color w:val="000000"/>
          <w:sz w:val="28"/>
        </w:rPr>
        <w:t xml:space="preserve">, от 18 мая </w:t>
      </w:r>
      <w:r>
        <w:rPr>
          <w:rFonts w:ascii="Times New Roman"/>
          <w:b w:val="false"/>
          <w:i w:val="false"/>
          <w:color w:val="000000"/>
          <w:sz w:val="28"/>
        </w:rPr>
        <w:t>№ 14-НП</w:t>
      </w:r>
      <w:r>
        <w:rPr>
          <w:rFonts w:ascii="Times New Roman"/>
          <w:b w:val="false"/>
          <w:i/>
          <w:color w:val="000000"/>
          <w:sz w:val="28"/>
        </w:rPr>
        <w:t xml:space="preserve">, от 14 июля </w:t>
      </w:r>
      <w:r>
        <w:rPr>
          <w:rFonts w:ascii="Times New Roman"/>
          <w:b w:val="false"/>
          <w:i w:val="false"/>
          <w:color w:val="000000"/>
          <w:sz w:val="28"/>
        </w:rPr>
        <w:t>№ 22-НП</w:t>
      </w:r>
      <w:r>
        <w:rPr>
          <w:rFonts w:ascii="Times New Roman"/>
          <w:b w:val="false"/>
          <w:i/>
          <w:color w:val="000000"/>
          <w:sz w:val="28"/>
        </w:rPr>
        <w:t xml:space="preserve">, от 20 июля </w:t>
      </w:r>
      <w:r>
        <w:rPr>
          <w:rFonts w:ascii="Times New Roman"/>
          <w:b w:val="false"/>
          <w:i w:val="false"/>
          <w:color w:val="000000"/>
          <w:sz w:val="28"/>
        </w:rPr>
        <w:t>№ 24-НП</w:t>
      </w:r>
      <w:r>
        <w:rPr>
          <w:rFonts w:ascii="Times New Roman"/>
          <w:b w:val="false"/>
          <w:i/>
          <w:color w:val="000000"/>
          <w:sz w:val="28"/>
        </w:rPr>
        <w:t xml:space="preserve">, от 31 августа </w:t>
      </w:r>
      <w:r>
        <w:rPr>
          <w:rFonts w:ascii="Times New Roman"/>
          <w:b w:val="false"/>
          <w:i w:val="false"/>
          <w:color w:val="000000"/>
          <w:sz w:val="28"/>
        </w:rPr>
        <w:t>№ 26-НП</w:t>
      </w:r>
      <w:r>
        <w:rPr>
          <w:rFonts w:ascii="Times New Roman"/>
          <w:b w:val="false"/>
          <w:i/>
          <w:color w:val="000000"/>
          <w:sz w:val="28"/>
        </w:rPr>
        <w:t xml:space="preserve">, от 6 октября </w:t>
      </w:r>
      <w:r>
        <w:rPr>
          <w:rFonts w:ascii="Times New Roman"/>
          <w:b w:val="false"/>
          <w:i w:val="false"/>
          <w:color w:val="000000"/>
          <w:sz w:val="28"/>
        </w:rPr>
        <w:t>№ 33-НП</w:t>
      </w:r>
      <w:r>
        <w:rPr>
          <w:rFonts w:ascii="Times New Roman"/>
          <w:b w:val="false"/>
          <w:i/>
          <w:color w:val="000000"/>
          <w:sz w:val="28"/>
        </w:rPr>
        <w:t xml:space="preserve">, от 6 декабря </w:t>
      </w:r>
      <w:r>
        <w:rPr>
          <w:rFonts w:ascii="Times New Roman"/>
          <w:b w:val="false"/>
          <w:i w:val="false"/>
          <w:color w:val="000000"/>
          <w:sz w:val="28"/>
        </w:rPr>
        <w:t>№ 37-НП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ряде случаев нормы законов, рассмотренные по обращениям граждан, признаны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изложением правовых позиций Конституционного Суда для принятия законодательных мер обеспечения конституционных прав и свобод человека и гражданина.  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Конституционный Суд отметил необходимость принятия мер социальной защиты граждан, пострадавших от ядерных испытаний на Семипалатинском испытательном ядерном полигоне </w:t>
      </w:r>
      <w:r>
        <w:rPr>
          <w:rFonts w:ascii="Times New Roman"/>
          <w:b w:val="false"/>
          <w:i/>
          <w:color w:val="000000"/>
          <w:sz w:val="28"/>
        </w:rPr>
        <w:t xml:space="preserve">(нормативное постановление от 25 </w:t>
      </w:r>
      <w:r>
        <w:rPr>
          <w:rFonts w:ascii="Times New Roman"/>
          <w:b w:val="false"/>
          <w:i/>
          <w:color w:val="000000"/>
          <w:sz w:val="28"/>
        </w:rPr>
        <w:t xml:space="preserve">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30-НП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 Это предполагает пересмотр как видов оказываемой помощи, так и ее объемов, размеров, а также перечня ее получателей. Правительству рекомендовано изучить и предложить новые принципы и подходы в вопросах социальной защиты такой категории лиц с учетом современной радиоэкологической обстановки на зараженных территориях, а также социальных, экологических, демографических, медицинских и иных факторов.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уголовного правосудия Конституционным Судом разъяснено, что невозможность кассационного обжалования постановления следственного судьи после проверки его законности и обоснованности областным или приравненным к нему судом нельзя рассматривать как ограничение права каждого на судебную защиту своих прав и свобод (</w:t>
      </w:r>
      <w:r>
        <w:rPr>
          <w:rFonts w:ascii="Times New Roman"/>
          <w:b w:val="false"/>
          <w:i/>
          <w:color w:val="000000"/>
          <w:sz w:val="28"/>
        </w:rPr>
        <w:t>н</w:t>
      </w:r>
      <w:r>
        <w:rPr>
          <w:rFonts w:ascii="Times New Roman"/>
          <w:b w:val="false"/>
          <w:i/>
          <w:color w:val="000000"/>
          <w:sz w:val="28"/>
        </w:rPr>
        <w:t xml:space="preserve">ормативное постановление от 17 августа </w:t>
      </w:r>
      <w:r>
        <w:rPr>
          <w:rFonts w:ascii="Times New Roman"/>
          <w:b w:val="false"/>
          <w:i/>
          <w:color w:val="000000"/>
          <w:sz w:val="28"/>
        </w:rPr>
        <w:t xml:space="preserve">2023 года </w:t>
      </w:r>
      <w:r>
        <w:rPr>
          <w:rFonts w:ascii="Times New Roman"/>
          <w:b w:val="false"/>
          <w:i w:val="false"/>
          <w:color w:val="000000"/>
          <w:sz w:val="28"/>
        </w:rPr>
        <w:t>№ 25-НП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перегружена перечислением альтернативных деяний, связанных с незаконной предпринимательской, банковской, микрофинансовой или коллекторской деятельностью, которые могут быть дифференцированы в отдельных нормах уголовного закона.   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гармонизированы между собой определения крупного ущерба, причиненного гражданину, а также значительного размера при обороте подакцизных товаров: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не более одной тысячи месячных расчетных показателей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 и 3 </w:t>
      </w:r>
      <w:r>
        <w:rPr>
          <w:rFonts w:ascii="Times New Roman"/>
          <w:b w:val="false"/>
          <w:i/>
          <w:color w:val="000000"/>
          <w:sz w:val="28"/>
        </w:rPr>
        <w:t xml:space="preserve">примечаний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в </w:t>
      </w:r>
      <w:r>
        <w:rPr>
          <w:rFonts w:ascii="Times New Roman"/>
          <w:b w:val="false"/>
          <w:i w:val="false"/>
          <w:color w:val="000000"/>
          <w:sz w:val="28"/>
        </w:rPr>
        <w:t>Уголовном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две тысячи месячных расчетных показателей и более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пункты 2) и 38) статьи 3).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позиции конституционных принципов отправления правосудия признана целесообразной дальнейшая конкретизация оснований дисциплинарной ответственности судей </w:t>
      </w:r>
      <w:r>
        <w:rPr>
          <w:rFonts w:ascii="Times New Roman"/>
          <w:b w:val="false"/>
          <w:i/>
          <w:color w:val="000000"/>
          <w:sz w:val="28"/>
        </w:rPr>
        <w:t xml:space="preserve">(нормативное постановление от 6 </w:t>
      </w:r>
      <w:r>
        <w:rPr>
          <w:rFonts w:ascii="Times New Roman"/>
          <w:b w:val="false"/>
          <w:i/>
          <w:color w:val="000000"/>
          <w:sz w:val="28"/>
        </w:rPr>
        <w:t xml:space="preserve">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36-НП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понятия "грубое нарушение закона" должно устанавливаться на уровне закона. Процессуальное законодательство должно предоставлять судье возможность пользования надлежащими инструментами правовой защиты, включая право на судебное обжалование.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доступа гражданина к информации Конституционный Суд подчеркнул, что возможные на уровне закона ограничения не должны ставить под угрозу существование и предназначение самого права на получение информации, особенно в случаях, когда информация и ее источники связаны с правами и свободами граждан, применением к ним различных мер правового принуждения или с вопросами повышенной общественной значимости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нормативное постановление от </w:t>
      </w:r>
      <w:r>
        <w:rPr>
          <w:rFonts w:ascii="Times New Roman"/>
          <w:b w:val="false"/>
          <w:i/>
          <w:color w:val="000000"/>
          <w:sz w:val="28"/>
        </w:rPr>
        <w:t xml:space="preserve">26 </w:t>
      </w:r>
      <w:r>
        <w:rPr>
          <w:rFonts w:ascii="Times New Roman"/>
          <w:b w:val="false"/>
          <w:i/>
          <w:color w:val="000000"/>
          <w:sz w:val="28"/>
        </w:rPr>
        <w:t xml:space="preserve">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39-НП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конституционного контроля являются важным правовым источником для дальнейшего совершенствования национального законодательства и оценки практики его применения.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направление решений Конституционного Суда субъектам государственной власти, включая Парламент, Правительство, уполномоченные государственные органы, служит для них сигналом для принятия безотлагательных мер по обеспечению конституционной законности. Суды и правоохранительные органы также должны строго соблюдать и применять в своей практике итоговые решения органа конституционного контроля.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Парламентом приняты отдельные изменения и дополнения в законы. Другие законодательные предложения находятся на стадии рассмотрения в Палатах либо согласования на уровне Правительства, заинтересованных государственных органов и организаций.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во исполнение нормативного постановления Конституционного Суда от 22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установлены предельные размеры государственной пошлины и уточнен порядок ее уплаты при кассационном обжаловании, предусмотрена отсрочка по ее уплате на основании определения суда. В реализацию нормативного постановления от 27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пересмотрены условия содержания осужденных к пожизненному лишению свободы. Рекомендации Конституционного Суда, изложенные в нормативном постановлении от 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учтены при принятии поправок в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поправки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июля 2011 года "О государственном регулировании производства и оборота отдельных видов нефтепродуктов" в части определения перечня документов, подтверждающих законность происхождения нефти и нефтепродуктов.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завершающей стадии в Парламенте находятся поправки о возможности участия представителя в процедурах рассмотрения материалов в рамках дисциплинарного дела в отношении судей, а также обсуждаются некоторые ограничения, связанные с поступлением граждан на отдельные виды государственной службы.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своих нормативных постановлениях рекомендовал Правительству, Верховному Суду, Высшему Судебному Совету и другим государственным органам разработать и внести поправки в действующие нормативные правовые акты.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их числе: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пробелов законодательства по вопросам уплаты государственной пошлины при обращении в суд </w:t>
      </w:r>
      <w:r>
        <w:rPr>
          <w:rFonts w:ascii="Times New Roman"/>
          <w:b w:val="false"/>
          <w:i/>
          <w:color w:val="000000"/>
          <w:sz w:val="28"/>
        </w:rPr>
        <w:t xml:space="preserve">(уменьшение размера, отсрочка, рассрочка уплаты и другие);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уточнение компетенции государственных органов разных уровней в рамках административной децентрализации;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мер по реализации социальных прав граждан, в том числе пострадавших вследствие ядерных испытаний;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процедур и критериев оценки профессиональной деятельности судей;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уточнение правовой регламентации положения свидетеля, имеющего право на защиту;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кассационной инстанции вне зависимости от вида уголовного правонарушения и категории преступлений;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исчерпывающее определение и разграничение признаков составов уголовных правонарушений, связанных с осуществлением предпринимательской, банковской (банковских операций), микрофинансовой или коллекторской деятельности;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разъяснение судебной практики при рассмотрении коррупционных преступлений с разнообразными формами проявления мнимого посредничества во взяточничестве;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норм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(Особенная часть) и положений соответствующего нормативного постановления Верховного Суда по возмещению морального вреда;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разграничение мер профилактики административных правонарушений, связанных с управлением транспортным средством лицами в состоянии опьянения;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актуализация перечня коррупционных преступлений с учетом целей и задач государственной политики по противодействию коррупции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нормативные постановления 2023 года: от 8 апреля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от 21 апреля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/>
          <w:color w:val="000000"/>
          <w:sz w:val="28"/>
        </w:rPr>
        <w:t xml:space="preserve">, от 16 мая </w:t>
      </w:r>
      <w:r>
        <w:rPr>
          <w:rFonts w:ascii="Times New Roman"/>
          <w:b w:val="false"/>
          <w:i w:val="false"/>
          <w:color w:val="000000"/>
          <w:sz w:val="28"/>
        </w:rPr>
        <w:t>№ 13-НП</w:t>
      </w:r>
      <w:r>
        <w:rPr>
          <w:rFonts w:ascii="Times New Roman"/>
          <w:b w:val="false"/>
          <w:i/>
          <w:color w:val="000000"/>
          <w:sz w:val="28"/>
        </w:rPr>
        <w:t xml:space="preserve">, от 22 мая </w:t>
      </w:r>
      <w:r>
        <w:rPr>
          <w:rFonts w:ascii="Times New Roman"/>
          <w:b w:val="false"/>
          <w:i w:val="false"/>
          <w:color w:val="000000"/>
          <w:sz w:val="28"/>
        </w:rPr>
        <w:t>№15-НП</w:t>
      </w:r>
      <w:r>
        <w:rPr>
          <w:rFonts w:ascii="Times New Roman"/>
          <w:b w:val="false"/>
          <w:i/>
          <w:color w:val="000000"/>
          <w:sz w:val="28"/>
        </w:rPr>
        <w:t xml:space="preserve">, от 14 июля </w:t>
      </w:r>
      <w:r>
        <w:rPr>
          <w:rFonts w:ascii="Times New Roman"/>
          <w:b w:val="false"/>
          <w:i w:val="false"/>
          <w:color w:val="000000"/>
          <w:sz w:val="28"/>
        </w:rPr>
        <w:t>№ 21-НП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от 31 августа </w:t>
      </w:r>
      <w:r>
        <w:rPr>
          <w:rFonts w:ascii="Times New Roman"/>
          <w:b w:val="false"/>
          <w:i w:val="false"/>
          <w:color w:val="000000"/>
          <w:sz w:val="28"/>
        </w:rPr>
        <w:t>№26-НП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от 25 сентября </w:t>
      </w:r>
      <w:r>
        <w:rPr>
          <w:rFonts w:ascii="Times New Roman"/>
          <w:b w:val="false"/>
          <w:i w:val="false"/>
          <w:color w:val="000000"/>
          <w:sz w:val="28"/>
        </w:rPr>
        <w:t>№ 30-НП</w:t>
      </w:r>
      <w:r>
        <w:rPr>
          <w:rFonts w:ascii="Times New Roman"/>
          <w:b w:val="false"/>
          <w:i/>
          <w:color w:val="000000"/>
          <w:sz w:val="28"/>
        </w:rPr>
        <w:t xml:space="preserve">, от 3 октября № </w:t>
      </w:r>
      <w:r>
        <w:rPr>
          <w:rFonts w:ascii="Times New Roman"/>
          <w:b w:val="false"/>
          <w:i w:val="false"/>
          <w:color w:val="000000"/>
          <w:sz w:val="28"/>
        </w:rPr>
        <w:t>31-НП</w:t>
      </w:r>
      <w:r>
        <w:rPr>
          <w:rFonts w:ascii="Times New Roman"/>
          <w:b w:val="false"/>
          <w:i/>
          <w:color w:val="000000"/>
          <w:sz w:val="28"/>
        </w:rPr>
        <w:t xml:space="preserve">, от 6 октября </w:t>
      </w:r>
      <w:r>
        <w:rPr>
          <w:rFonts w:ascii="Times New Roman"/>
          <w:b w:val="false"/>
          <w:i w:val="false"/>
          <w:color w:val="000000"/>
          <w:sz w:val="28"/>
        </w:rPr>
        <w:t>№ 32-НП</w:t>
      </w:r>
      <w:r>
        <w:rPr>
          <w:rFonts w:ascii="Times New Roman"/>
          <w:b w:val="false"/>
          <w:i/>
          <w:color w:val="000000"/>
          <w:sz w:val="28"/>
        </w:rPr>
        <w:t xml:space="preserve">, от 27 октября </w:t>
      </w:r>
      <w:r>
        <w:rPr>
          <w:rFonts w:ascii="Times New Roman"/>
          <w:b w:val="false"/>
          <w:i w:val="false"/>
          <w:color w:val="000000"/>
          <w:sz w:val="28"/>
        </w:rPr>
        <w:t>№ 34-НП</w:t>
      </w:r>
      <w:r>
        <w:rPr>
          <w:rFonts w:ascii="Times New Roman"/>
          <w:b w:val="false"/>
          <w:i/>
          <w:color w:val="000000"/>
          <w:sz w:val="28"/>
        </w:rPr>
        <w:t xml:space="preserve">, от 16 ноября </w:t>
      </w:r>
      <w:r>
        <w:rPr>
          <w:rFonts w:ascii="Times New Roman"/>
          <w:b w:val="false"/>
          <w:i w:val="false"/>
          <w:color w:val="000000"/>
          <w:sz w:val="28"/>
        </w:rPr>
        <w:t>№ 35-НП</w:t>
      </w:r>
      <w:r>
        <w:rPr>
          <w:rFonts w:ascii="Times New Roman"/>
          <w:b w:val="false"/>
          <w:i/>
          <w:color w:val="000000"/>
          <w:sz w:val="28"/>
        </w:rPr>
        <w:t xml:space="preserve">, от 6 декабря </w:t>
      </w:r>
      <w:r>
        <w:rPr>
          <w:rFonts w:ascii="Times New Roman"/>
          <w:b w:val="false"/>
          <w:i w:val="false"/>
          <w:color w:val="000000"/>
          <w:sz w:val="28"/>
        </w:rPr>
        <w:t>№ 36-НП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проектов новых нормативных правовых актов уполномоченным государственным органам следует учитывать правовые позиции Конституционного Суда, сформулированные по итогам анализа действующего права в мотивировочной части нормативных постановлений, даже в случае признания отдельных оспариваемых положений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рекомендациями по совершенствованию действующего законодательства практика Конституционного Суда за полтора года показала необходимость дополнительного рассмотрения некоторых вопросов.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Решения Конституционного Суда требуют адекватного реагирования со стороны уполномоченных государственных органов. Упрощенный порядок разработки нормативных правовых актов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 предусмотрен только в отношении актов или их отдельных положений, признанных неконституционными. Данный механизм не действует в случае признания нормы соответствующей Конституции в данном Конституционным Судом истолковании.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Недостаточная проработка правовой и практической обоснованности законодательных предложений, отсутствие должного внимания к заключениям специалистов и прогнозирования правовых последствий увеличивают риски принятия нормативного правового акта ненадлежащего качества, а в худшем случае – признания его неконституционным.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 целесообразным в качестве инструментов правового мониторинга законодательства,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актах", включить проверку на предмет исполнения решений Конституционного Суда и анализ судебной практики на базе обобщений Верховного Суда.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Следует уделить пристальное внимание правовым коллизиям и их последствиям при применении правил об обратной силе новых законов, регламентирующих не вопросы ответственности, а запреты, ограничения, льготы или меры поощрения.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своих решениях указывал, что в заключительных и переходных положениях рассмотренных законов, регулирующих порядок их введения в действие, не предусмотрены положения об обратной силе новых требований. При этом разъяснено, что принятые Парламентом законы могут действовать с обратной силой, если решение об этом закреплено в самом законе или в постановлении о введении его в действие </w:t>
      </w:r>
      <w:r>
        <w:rPr>
          <w:rFonts w:ascii="Times New Roman"/>
          <w:b w:val="false"/>
          <w:i/>
          <w:color w:val="000000"/>
          <w:sz w:val="28"/>
        </w:rPr>
        <w:t xml:space="preserve">(нормативные постановления </w:t>
      </w:r>
      <w:r>
        <w:rPr>
          <w:rFonts w:ascii="Times New Roman"/>
          <w:b w:val="false"/>
          <w:i/>
          <w:color w:val="000000"/>
          <w:sz w:val="28"/>
        </w:rPr>
        <w:t xml:space="preserve">Конституционного Суда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27-НП</w:t>
      </w:r>
      <w:r>
        <w:rPr>
          <w:rFonts w:ascii="Times New Roman"/>
          <w:b w:val="false"/>
          <w:i/>
          <w:color w:val="000000"/>
          <w:sz w:val="28"/>
        </w:rPr>
        <w:t xml:space="preserve">,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38-НП</w:t>
      </w:r>
      <w:r>
        <w:rPr>
          <w:rFonts w:ascii="Times New Roman"/>
          <w:b w:val="false"/>
          <w:i/>
          <w:color w:val="000000"/>
          <w:sz w:val="28"/>
        </w:rPr>
        <w:t xml:space="preserve"> и другие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 установлено, что действие нормативного правового акта не распространяется на отношения, возникшие до его введения в действие, за исключением случаев, когда обратная сила нормативного правового акта или его части предусмотрена им самим или актом о введении в действие нормативного правового акта, а также когда последний исключает обязанности, возложенные на граждан, или улучшает их положение. Законы, возлагающие новые обязанности на граждан или ухудшающие их положение, обратной силы не имеют.    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Необходимо конкретизировать основания пересмотра судебных актов в случае принятия нормативного постановления о признании закона или иного правового акта либо отдельных их положений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данном Конституционным Судом истолковании.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Конституционного закона определено, что в случае принятия Конституционным Судом такого решения при его применении исключается иное истолкование, а его последствия при этом такие же, как и при принятии решения о неконституционности.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представляется целесообразным внесение в процессуальные кодексы дополнений в части включения данного вида нормативного постановления Конституционного Суда в перечень оснований для возобновления производства по вновь открывшимся обстоятельствам.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Верховному Суду включать в обобщения судебной практики анализ применения судами нормативных постановлений Конституционного Суда, способствующий усилению правовой защиты граждан.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работа проводится органами прокуратуры в рамках их конституционных полномочий. На предмет соблюдения и исполнения решений Конституционного Суда проанализировано несколько тысяч уголовных, гражданских и иных дел, жалоб и материалов о применении мер уголовно-процессуального принуждения. По итогам анализа внесены акты прокурорского надзора и реагирования по вопросам: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восстановления бывшим сотрудникам пенсии по выслуге лет;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пресечения фактов незаконного привлечения к административной ответственности за занятие предпринимательской деятельностью лицами, приравненными к лицам, уполномоченным на выполнение государственных функций;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недопущения трудоустройства в субъекты квазигосударственного сектора лиц, совершивших коррупционное преступление, претендующих на занятие только управленческих должностей;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и рассмотрения жалоб адвокатов на действия (бездействие) и решения учреждения или органа, исполняющих наказание, в защиту осужденных и другие.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Глубокого изучения требует проблема установления соразмерной ответственности за различные виды правонарушений.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Основного Закона Парламент вправе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лиц, гражданских прав и свобод, обязательств и ответственности. Данные полномочия включают определение категорий правонарушений, противоправности (преступности) и наказуемости деяний исходя из степени их общественной опасности и криминогенной ситуации в стране. В то же время рамки дискреционных полномочий законодателя в этих вопросах должны соответствовать конституционным пределам допустимого ограничения прав и свобод человека и гражданина.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достижение задачи верховенства Основного Закона Казахстана возможно через соблюдение баланса и паритета интересов личности, общества и государства, применение системы сдержек и противовесов.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конституционной законности является миссией каждого субъекта государственной власти, государственного института и должностного лица.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Суд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