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864" w14:textId="7deb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14 января 2016 года "О драгоценных металлах и драгоценных камнях" и "О внесении изменений и дополнений в некоторые законодательные акты Республики Казахстан по вопросам драгоценных металлов и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февраля 2016 года № 14-р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14 января 2016 года "</w:t>
      </w:r>
      <w:r>
        <w:rPr>
          <w:rFonts w:ascii="Times New Roman"/>
          <w:b w:val="false"/>
          <w:i w:val="false"/>
          <w:color w:val="000000"/>
          <w:sz w:val="28"/>
        </w:rPr>
        <w:t>О драгоценных металлах и драгоценных камнях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драгоценных металлов и драгоценных камней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14 января 2016 года "О драгоценных металлах и драгоценных камнях" и "О внесении изменений и дополнений в некоторые законодательные акты Республики Казахстан по вопросам драгоценных металлов и драгоценных камней"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752"/>
        <w:gridCol w:w="1291"/>
        <w:gridCol w:w="546"/>
        <w:gridCol w:w="875"/>
        <w:gridCol w:w="1292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21 июля 2011 года № 120 "О мерах по выполнению Решения Межгосударственного Совета (высшего органа таможенного союза) Евразийского экономического сообщества "О едином нетарифном регулировании таможенного союза Республики Беларусь, Республики Казахстан и Российской Федерации" от 27 ноября 2009 года № 19"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 признании утратившими силу некоторых решений Правительства Республики Казахстан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Б.Т.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реализации ювелирных и других изделий из драгоценных металлов и драгоценных камней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3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драгоценных камней, ювелирных и других изделий из драгоценных металлов и драгоценных камней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пороговых значений содержания вредных примесей и драгоценных металлов в сырьевых товарах, содержащих драгоценные металлы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субъектов производства драгоценных металлов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 производств драгоценных металлов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оформления акта об отборе проб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 отказа от субъектов производства драгоценных металлов переработки и (или) аффинажа сырьевых товаров, содержащих драгоценные металлы, или подтверждения уполномоченного органа о наличии такого отказа, а также установлении условий для субъектов производства драгоценных металлов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