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a015" w14:textId="331a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 июля 2013 года "О внесении изменений и дополнений в некоторые законодательные акты Республики Казахстан по вопросам создания национального превентивного механизма, направленного на предупреждение пыток и других жестоких, бесчеловечных или унижающих достоинство видов обращения и наказания"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августа 2013 года № 139-р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2013 года «О внесении изменений и дополнений в некоторые законодательные акты Республики Казахстан по вопросам создания национального превентивного механизма, направленного на предупреждение пыток и других жестоких, бесчеловечных или унижающих достоинство видов обращения и наказания»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и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августа 2013 года № 139-р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и правовых актов, принятие которых</w:t>
      </w:r>
      <w:r>
        <w:br/>
      </w:r>
      <w:r>
        <w:rPr>
          <w:rFonts w:ascii="Times New Roman"/>
          <w:b/>
          <w:i w:val="false"/>
          <w:color w:val="000000"/>
        </w:rPr>
        <w:t xml:space="preserve">
необходимо в целях реализации Закона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>
от 2 июля 2013 года «О внесении изменений и дополнений в</w:t>
      </w:r>
      <w:r>
        <w:br/>
      </w:r>
      <w:r>
        <w:rPr>
          <w:rFonts w:ascii="Times New Roman"/>
          <w:b/>
          <w:i w:val="false"/>
          <w:color w:val="000000"/>
        </w:rPr>
        <w:t>
некоторые законодательные акты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
создания национального превентивного механизма, направленного</w:t>
      </w:r>
      <w:r>
        <w:br/>
      </w:r>
      <w:r>
        <w:rPr>
          <w:rFonts w:ascii="Times New Roman"/>
          <w:b/>
          <w:i w:val="false"/>
          <w:color w:val="000000"/>
        </w:rPr>
        <w:t>
на предупреждение пыток и других жестоких, бесчеловечных или</w:t>
      </w:r>
      <w:r>
        <w:br/>
      </w:r>
      <w:r>
        <w:rPr>
          <w:rFonts w:ascii="Times New Roman"/>
          <w:b/>
          <w:i w:val="false"/>
          <w:color w:val="000000"/>
        </w:rPr>
        <w:t>
унижающих достоинство видов обращения и наказания»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5186"/>
        <w:gridCol w:w="2838"/>
        <w:gridCol w:w="3421"/>
        <w:gridCol w:w="2050"/>
      </w:tblGrid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 правового или правового акта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органы, ответственные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возмещения расходов участников национального превентивного механизма по превентивным посещениям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НЦПЧ (по согласованию), МФ, МЭБП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превентивных посещений группами, формируемыми из участников национального превентивного механизма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НЦПЧ (по согласованию), ГП (по согласованию), МВД, КНБ, МЗ, МТСЗН, МОН, МО, МФ, МЭБП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отбора участников национального превентивного механизма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 Уполномоченного по правам человека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НЦПЧ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Положения о Координационном совете при Уполномоченном по правам человека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 Уполномоченного по правам человека 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НЦПЧ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формирования групп из участников национального превентивного механизма для превентивных посещений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 Уполномоченного по правам человека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НЦПЧ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методических рекомендаций по превентивным посещениям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 Уполномоченного по правам человека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НЦПЧ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подготовки ежегодного консолидированного доклада по итогам превентивных посещений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 Уполномоченного по правам человека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НЦПЧ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Положения о Комиссии по избранию членов Координационного совета при Уполномоченном по правам человека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 Уполномоченного по правам человека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НЦПЧ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-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НЦПЧ - Национальный центр по правам человека.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