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b412" w14:textId="76fb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января 2010 года "О судебно-экспертной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2010 года № 42-р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нормативно-правовых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2010 года № 42-р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</w:t>
      </w:r>
      <w:r>
        <w:br/>
      </w:r>
      <w:r>
        <w:rPr>
          <w:rFonts w:ascii="Times New Roman"/>
          <w:b/>
          <w:i w:val="false"/>
          <w:color w:val="000000"/>
        </w:rPr>
        <w:t>
Закона Республики Казахстан от 20 января 2010 года</w:t>
      </w:r>
      <w:r>
        <w:br/>
      </w:r>
      <w:r>
        <w:rPr>
          <w:rFonts w:ascii="Times New Roman"/>
          <w:b/>
          <w:i w:val="false"/>
          <w:color w:val="000000"/>
        </w:rPr>
        <w:t>
"О судебно-экспертной деятельности в Республике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93"/>
        <w:gridCol w:w="2773"/>
        <w:gridCol w:w="3413"/>
        <w:gridCol w:w="2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с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поступающими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эксперта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МЮ - Министерство юстиции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