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0b79c" w14:textId="e10b7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упорядочении эксплуатации служебных автомобилей для транспортного обслуживания государственных органов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мая 1999 года № 663. Утратило силу постановлением Правительства Республики Казахстан от 28 декабря 2016 года № 887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28.12.2016 </w:t>
      </w:r>
      <w:r>
        <w:rPr>
          <w:rFonts w:ascii="Times New Roman"/>
          <w:b w:val="false"/>
          <w:i w:val="false"/>
          <w:color w:val="ff0000"/>
          <w:sz w:val="28"/>
        </w:rPr>
        <w:t>№ 887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заголовке и тексте, за исключением абзаца 3 подпункта 2) пункта 2 и подпункта 2) пункта 3, слово "легковых" исключено постановлением Правительства РК от 31.07.2008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725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усиления режима экономии государственных средств и упорядочения пользования служебными автомобилями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с изменениями, внесенными постановлением Правительства РК от 31.07.2008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725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норматив положенности служебных автомобилей для транспортного обслуживания государственных органов Республики Казахстан (далее - Норматив).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постановлениями Правительства РК от 6.03.2000 </w:t>
      </w:r>
      <w:r>
        <w:rPr>
          <w:rFonts w:ascii="Times New Roman"/>
          <w:b w:val="false"/>
          <w:i w:val="false"/>
          <w:color w:val="000000"/>
          <w:sz w:val="28"/>
        </w:rPr>
        <w:t xml:space="preserve">N 359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31.07.2008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725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Рекомендовать: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Управлению Делами Президента Республики Казахстан передать на баланс государственных органов закрепленные за ними служебные легковые автомобили, находящиеся на балансе Республиканского государственного предприятия "Автохозяйство Управления Делами Президента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государственным органам</w:t>
      </w:r>
      <w:r>
        <w:rPr>
          <w:rFonts w:ascii="Times New Roman"/>
          <w:b w:val="false"/>
          <w:i w:val="false"/>
          <w:color w:val="000000"/>
          <w:sz w:val="28"/>
        </w:rPr>
        <w:t>, непосредственно подчиненным и подотчетным Президенту Республики Казахстан, а также иным государственным органам, не являющимся центральными исполнительными органами: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принять на баланс закрепленные за ними служебные легковые автомобили, находящиеся на балансе Республиканского государственного предприятия "Автохозяйство Управления Делами Президента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 обновлять парк служебных легковых автомобилей до 2010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с изменениями, внесенными постановлением Правительства РК от 24.03.2009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388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Министерствам, агентствам и комитетам: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принять на баланс закрепленные за ними служебные легковые автомобили, находящиеся на балансе Республиканского государственного предприятия "Автохозяйство Управления Делами Президента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не обновлять парк служебных легковых автомобилей до 2010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Правительства РК от 24.03.2009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388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с изменениями, внесенными постановлением Правительства РК от 24.03.2009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388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финансов Республики Казахстан осуществлять финансирование государственных органов в строгом соответствии с заключенными договорами на транспортное обслуживание в пределах лимита расходов на эксплуатацию служебных автомобилей.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Реализацию утвержденных норм положенности служебных автомобилей для транспортного обслуживания государственных органов Республики Казахстан осуществлять в пределах средств, предусмотренных в республиканском и местном бюджете на соответствующий период.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в редакции постановления Правительства РК от 31.03.2011 </w:t>
      </w:r>
      <w:r>
        <w:rPr>
          <w:rFonts w:ascii="Times New Roman"/>
          <w:b w:val="false"/>
          <w:i w:val="false"/>
          <w:color w:val="000000"/>
          <w:sz w:val="28"/>
        </w:rPr>
        <w:t>№ 335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Министерству финансов Республики Казахстан совместно с Министерством юстиции Республики Казахстан в установленном законодательством порядке внести предложение о приведении ранее принятых решений Правительства Республики Казахстан в соответствие с настоящим постановлением.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Настоящее постановление вступает в силу с 1 июля 1999 года.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Республики Казахстан </w:t>
      </w:r>
    </w:p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Утвержден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от 27 мая 1999 года № 663 </w:t>
      </w:r>
    </w:p>
    <w:bookmarkEnd w:id="2"/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Норматив положенности служебных автомобилей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для транспортного обслуживания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органов Республики Казахстан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Сноска. Норматив в редакции постановления Правительства РК от 06.08.2009 </w:t>
      </w:r>
      <w:r>
        <w:rPr>
          <w:rFonts w:ascii="Times New Roman"/>
          <w:b w:val="false"/>
          <w:i w:val="false"/>
          <w:color w:val="ff0000"/>
          <w:sz w:val="28"/>
        </w:rPr>
        <w:t>№ 1189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постановлениями  Правительства РК от 31.03.2011 </w:t>
      </w:r>
      <w:r>
        <w:rPr>
          <w:rFonts w:ascii="Times New Roman"/>
          <w:b w:val="false"/>
          <w:i w:val="false"/>
          <w:color w:val="ff0000"/>
          <w:sz w:val="28"/>
        </w:rPr>
        <w:t>№ 335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07.10.2011 </w:t>
      </w:r>
      <w:r>
        <w:rPr>
          <w:rFonts w:ascii="Times New Roman"/>
          <w:b w:val="false"/>
          <w:i w:val="false"/>
          <w:color w:val="ff0000"/>
          <w:sz w:val="28"/>
        </w:rPr>
        <w:t>№ 1148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04.06.2012 </w:t>
      </w:r>
      <w:r>
        <w:rPr>
          <w:rFonts w:ascii="Times New Roman"/>
          <w:b w:val="false"/>
          <w:i w:val="false"/>
          <w:color w:val="ff0000"/>
          <w:sz w:val="28"/>
        </w:rPr>
        <w:t>№ 739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02.11.2012 </w:t>
      </w:r>
      <w:r>
        <w:rPr>
          <w:rFonts w:ascii="Times New Roman"/>
          <w:b w:val="false"/>
          <w:i w:val="false"/>
          <w:color w:val="ff0000"/>
          <w:sz w:val="28"/>
        </w:rPr>
        <w:t>№ 1396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19.11.2012 </w:t>
      </w:r>
      <w:r>
        <w:rPr>
          <w:rFonts w:ascii="Times New Roman"/>
          <w:b w:val="false"/>
          <w:i w:val="false"/>
          <w:color w:val="ff0000"/>
          <w:sz w:val="28"/>
        </w:rPr>
        <w:t>№ 1458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22.02.2013 </w:t>
      </w:r>
      <w:r>
        <w:rPr>
          <w:rFonts w:ascii="Times New Roman"/>
          <w:b w:val="false"/>
          <w:i w:val="false"/>
          <w:color w:val="ff0000"/>
          <w:sz w:val="28"/>
        </w:rPr>
        <w:t>№ 165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03.09.2013 </w:t>
      </w:r>
      <w:r>
        <w:rPr>
          <w:rFonts w:ascii="Times New Roman"/>
          <w:b w:val="false"/>
          <w:i w:val="false"/>
          <w:color w:val="ff0000"/>
          <w:sz w:val="28"/>
        </w:rPr>
        <w:t>№ 915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18.07.2014 </w:t>
      </w:r>
      <w:r>
        <w:rPr>
          <w:rFonts w:ascii="Times New Roman"/>
          <w:b w:val="false"/>
          <w:i w:val="false"/>
          <w:color w:val="ff0000"/>
          <w:sz w:val="28"/>
        </w:rPr>
        <w:t>№ 795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09.10.2014 </w:t>
      </w:r>
      <w:r>
        <w:rPr>
          <w:rFonts w:ascii="Times New Roman"/>
          <w:b w:val="false"/>
          <w:i w:val="false"/>
          <w:color w:val="ff0000"/>
          <w:sz w:val="28"/>
        </w:rPr>
        <w:t>№ 1081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16.10.2014 </w:t>
      </w:r>
      <w:r>
        <w:rPr>
          <w:rFonts w:ascii="Times New Roman"/>
          <w:b w:val="false"/>
          <w:i w:val="false"/>
          <w:color w:val="ff0000"/>
          <w:sz w:val="28"/>
        </w:rPr>
        <w:t>№ 1098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02.04.2015 </w:t>
      </w:r>
      <w:r>
        <w:rPr>
          <w:rFonts w:ascii="Times New Roman"/>
          <w:b w:val="false"/>
          <w:i w:val="false"/>
          <w:color w:val="ff0000"/>
          <w:sz w:val="28"/>
        </w:rPr>
        <w:t>№ 173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8"/>
        <w:gridCol w:w="2772"/>
        <w:gridCol w:w="3333"/>
        <w:gridCol w:w="1576"/>
        <w:gridCol w:w="1709"/>
        <w:gridCol w:w="1596"/>
        <w:gridCol w:w="1976"/>
      </w:tblGrid>
      <w:tr>
        <w:trPr>
          <w:trHeight w:val="30" w:hRule="atLeast"/>
        </w:trPr>
        <w:tc>
          <w:tcPr>
            <w:tcW w:w="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27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органа </w:t>
            </w:r>
          </w:p>
        </w:tc>
        <w:tc>
          <w:tcPr>
            <w:tcW w:w="3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должности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автомобилей </w:t>
            </w:r>
          </w:p>
        </w:tc>
        <w:tc>
          <w:tcPr>
            <w:tcW w:w="1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двига-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теля,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куб.см.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(кроме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бусов) </w:t>
            </w:r>
          </w:p>
        </w:tc>
        <w:tc>
          <w:tcPr>
            <w:tcW w:w="1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Пробег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а/м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месяц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(км)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служеб-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(на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цу) 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дежур-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бусы)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0" w:hRule="atLeast"/>
        </w:trPr>
        <w:tc>
          <w:tcPr>
            <w:tcW w:w="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7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30" w:hRule="atLeast"/>
        </w:trPr>
        <w:tc>
          <w:tcPr>
            <w:tcW w:w="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7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Президента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Президента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Президента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Высшего Судебного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Совета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Президента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Президента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Пресс-секретарь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Президента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Шеф протокола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Президента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Парламенте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Астане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16*********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1****** ***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городе Алматы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1*********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6*********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Гостевые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***</w:t>
            </w:r>
          </w:p>
        </w:tc>
      </w:tr>
      <w:tr>
        <w:trPr>
          <w:trHeight w:val="30" w:hRule="atLeast"/>
        </w:trPr>
        <w:tc>
          <w:tcPr>
            <w:tcW w:w="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7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Президента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Управляющий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делами Президента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делами Президента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ведомства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постановлением Правительства РК от 22.02.2013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165</w:t>
            </w:r>
          </w:p>
        </w:tc>
      </w:tr>
      <w:tr>
        <w:trPr>
          <w:trHeight w:val="30" w:hRule="atLeast"/>
        </w:trPr>
        <w:tc>
          <w:tcPr>
            <w:tcW w:w="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7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Парламента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аппарата Палаты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Парламента 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 </w:t>
            </w:r>
          </w:p>
        </w:tc>
      </w:tr>
      <w:tr>
        <w:trPr>
          <w:trHeight w:val="13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Заместитель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Парламента 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Гостевые 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*** </w:t>
            </w:r>
          </w:p>
        </w:tc>
      </w:tr>
      <w:tr>
        <w:trPr>
          <w:trHeight w:val="30" w:hRule="atLeast"/>
        </w:trPr>
        <w:tc>
          <w:tcPr>
            <w:tcW w:w="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7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Премьер-Министра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Премьер-Министра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1********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Премьер-Министра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1****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Алматы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Гостевые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***</w:t>
            </w:r>
          </w:p>
        </w:tc>
      </w:tr>
      <w:tr>
        <w:trPr>
          <w:trHeight w:val="30" w:hRule="atLeast"/>
        </w:trPr>
        <w:tc>
          <w:tcPr>
            <w:tcW w:w="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7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Конституционного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Совета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Конституционного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Совета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7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подчиненные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подотчетные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комиссия)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 **********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Председателя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Члены Счетного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и члены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5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Счетного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7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Верховный Суд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Председатель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Верховного Суда 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Председатель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Верховного Суда 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Судьи Верховного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 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3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судов (аппарата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Верховного 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Казахстан)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судов (аппарата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Верховного 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Казахстан)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 </w:t>
            </w:r>
          </w:p>
        </w:tc>
      </w:tr>
      <w:tr>
        <w:trPr>
          <w:trHeight w:val="30" w:hRule="atLeast"/>
        </w:trPr>
        <w:tc>
          <w:tcPr>
            <w:tcW w:w="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7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(города 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столицы)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приравненные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ним суды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Председатель суда 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Председатель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коллегии суда 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 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приравненные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ним суды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Председатель суда 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 </w:t>
            </w:r>
          </w:p>
        </w:tc>
      </w:tr>
      <w:tr>
        <w:trPr>
          <w:trHeight w:val="30" w:hRule="atLeast"/>
        </w:trPr>
        <w:tc>
          <w:tcPr>
            <w:tcW w:w="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27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прокуратура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прокурор,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военный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прокурор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 **********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Генерального прокурора (Главного военного прокурора), Руководитель аппарата Генерального прокурора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прокуратуре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прокуратуре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27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(города 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столицы)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приравненные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ним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прокуратуры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Прокурор 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Заместитель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прокурора 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 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приравненные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ним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прокуратуры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Прокурор 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 </w:t>
            </w:r>
          </w:p>
        </w:tc>
      </w:tr>
      <w:tr>
        <w:trPr>
          <w:trHeight w:val="30" w:hRule="atLeast"/>
        </w:trPr>
        <w:tc>
          <w:tcPr>
            <w:tcW w:w="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27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агентства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2600**********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Агентства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Агентства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30" w:hRule="atLeast"/>
        </w:trPr>
        <w:tc>
          <w:tcPr>
            <w:tcW w:w="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27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столицы) 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****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Первый замести-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тель, заместитель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(города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столицы) 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****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аппарата 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(города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столицы) 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****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Гостевые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****</w:t>
            </w:r>
          </w:p>
        </w:tc>
      </w:tr>
      <w:tr>
        <w:trPr>
          <w:trHeight w:val="30" w:hRule="atLeast"/>
        </w:trPr>
        <w:tc>
          <w:tcPr>
            <w:tcW w:w="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27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значения)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значения) 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****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значения) 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****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****</w:t>
            </w:r>
          </w:p>
        </w:tc>
      </w:tr>
      <w:tr>
        <w:trPr>
          <w:trHeight w:val="30" w:hRule="atLeast"/>
        </w:trPr>
        <w:tc>
          <w:tcPr>
            <w:tcW w:w="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17-1</w:t>
            </w:r>
          </w:p>
        </w:tc>
        <w:tc>
          <w:tcPr>
            <w:tcW w:w="27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органы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столицы)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17-2</w:t>
            </w:r>
          </w:p>
        </w:tc>
        <w:tc>
          <w:tcPr>
            <w:tcW w:w="27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столицы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 области,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*******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Члены ревизионной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 области,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*******</w:t>
            </w:r>
          </w:p>
        </w:tc>
      </w:tr>
      <w:tr>
        <w:trPr>
          <w:trHeight w:val="30" w:hRule="atLeast"/>
        </w:trPr>
        <w:tc>
          <w:tcPr>
            <w:tcW w:w="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Транспортное обслуживание центрального аппарата государственных органов, включая их ведомства, за исключением Генеральной прокуратуры Республики Казахстан, а также тех, которые имеют специальный транспорт при численности работников: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100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***** *********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3000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100 до 200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2******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3000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200 до 300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3000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300 до 500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4*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3000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500 до 900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3000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900 до 1 300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3000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1 300 и выше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3000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***</w:t>
            </w:r>
          </w:p>
        </w:tc>
      </w:tr>
      <w:tr>
        <w:trPr>
          <w:trHeight w:val="30" w:hRule="atLeast"/>
        </w:trPr>
        <w:tc>
          <w:tcPr>
            <w:tcW w:w="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Транспортное обслуживание территориальных подразделений центральных государственных органов и их ведомств в областях, городах Астане и Алматы**, за исключением Верховного Суда и Генеральной прокуратуры Республики Казахстан, а также тех, которые имеют специальный транспорт при численности работников: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100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1***********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3000 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***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100 до 200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3000 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*** 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Транспортное обслуживание территориальных подразделений центральных государственных органов и их ведомств в районах, (городах областного значения), за исключением Верховного Суда и Генеральной прокуратуры  Республики Казахстан, а также тех, которые имеют специальный транспорт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***********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3000 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*** </w:t>
            </w:r>
          </w:p>
        </w:tc>
      </w:tr>
      <w:tr>
        <w:trPr>
          <w:trHeight w:val="30" w:hRule="atLeast"/>
        </w:trPr>
        <w:tc>
          <w:tcPr>
            <w:tcW w:w="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бюджетов*****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3000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*****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3000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*****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3000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*****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3000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*****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3000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*****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3000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*****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3000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*****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3000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*****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3000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*****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3000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*****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3000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*****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3000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*****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3000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*****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3000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*****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3000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*****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3000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*****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21-1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столицы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*******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пред-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столицы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3000 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***</w:t>
            </w:r>
          </w:p>
        </w:tc>
      </w:tr>
    </w:tbl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Примечания: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 для Министерства иностранных дел Республики Казахстан установить норматив положенности служебных автомобилей в количестве 5 единиц, учитывая специфику внешнеполитического органа; для Администрации Президента Республики Казахстан - 7 единиц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 данный норматив также распространяется на филиалы государственных органов в областях, территориальные подразделения государственных органов в г. Байконуре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*** государственные органы самостоятельно устанавливают лимиты пробега для автомобилей транспортного обслуживания, но не более 2600 км в месяц на 1 единицу транспорта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**** для местных исполнительных органов лимиты пробега определяются по решению Акима области, города республиканского значения, столицы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***** распределение автотранспорта в разрезе исполнительных органов, финансируемых из местных бюджетов, а также определение по ним лимита пробега определяется по решению Акима области, города республиканского значения, столицы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****** для Управления делами Президента Республики Казахстан, аппаратов палат Парламента Республики Казахстан установить норматив положенности дежурных автомобилей в количестве по 3 единицы, учитывая специфику деятельности, связанную с подготовкой протокольных мероприятий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******* для ревизионных комиссий областей, городов республиканского значения, столицы лимиты пробега определяются по решению Акима области, города республиканского значения, столицы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******** данный норматив также распространяется на руководителя Республиканского государственного учреждения «Служба центральных коммуникаций» при Президенте Республики Казахстан и республиканского государственного учреждения «Қоғамдық келісім» при Президенте Республики Казахстан»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********* для государственных учреждений «Музей Первого Президента Республики Казахстан» Администрации Президента Республики Казахстан - 2 единицы, «Архив Президента Республики Казахстан» Администрации Президента Республики Казахстан - 2 единицы»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********** для Председателя Счетного комитета, Генерального прокурора, министров финансов и сельского хозяйства установить лимиты пробега для автомобилей транспортного обслуживания не более 3100 км в месяц на 1 единицу транспорта.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*********** автомобили, предусмотренные для транспортного обслуживания Инспекции финансового контроля по Актюбинской области Комитета финансового контроля Министерства финансов Республики Казахстан и районных управлений казначейства Департамента казначейства по Актюбинской области Комитета казначейства Министерства финансов Республики Казахстан, находятся на балансе Актюбинского департамента государственного имущества и приватизации Комитета государственного имущества и приватизации Министерства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************* данный норматив также распространяется на заместителей руководителя Республиканского государственного учреждения «Служба центральных коммуникаций» при Президенте Республики Казахстан и республиканского государственного учреждения «Қоғамдық келісім» при Президенте Республики Казахстан»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************** данный норматив также распространяется на республиканское государственное учреждение «Қоғамдық келісім» при Президенте Республики Казахстан»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Настоящие нормы положенности не распространяются на Министерство обороны Республики Казахстан, Комитет национальной безопасности Республики Казахстан, Службу внешней разведки Республики Казахстан «Сырбар», Службу государственной охраны Республики Казахстан и воинские части гражданской обороны уполномоченного органа в сфере гражданской защиты.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