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0dc" w14:textId="2079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участия государства в развитии рыночной инфраструктуры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1998 года N 761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сельскохозяйственных товаропроизводителей сельскохозяйственной техникой, развития сети машинно-технологических станций, пунктов проката сельскохозяйственной техники, а также для организации системы оптовых продовольственных рынков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закрытому акционерному обществу "Фонд развития малого предпринимательства" совместно с уполномоченными банками второго уровня выдавать кредиты из средств второго транша Программного займа Азиатского Банка Развития для сельскохозяйственного сектора на приобретение новой сельскохозяйственной техники и пополнение оборотных средств для создаваемой сети машинно-технологических станций (далее - МТС) и системы оптовых продовольственных рынков по согласованию с Министерством финансов и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организовать работу по созданию и упорядочению сети МТС, а также формированию системы оптовых продовольственных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17 марта 1998 года N 227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Программного займа Азиатского Банка Развития для сельскохозяйственного сектора"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"переработке сельскохозяйственной продукции" дополнить словами "сельскохозяйственной техники для машинно-технологических станций, создания системы оптовых продовольственных рынков и других рыночных инфраструктур, предназначенных для реализации сельскохозяйственной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