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f420" w14:textId="066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переговоров с Китайской Народной Республикой по 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1997 года N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Текст постановления не приводится, так как нормативные акты с грифом 
"Опубликованию не подлежит" не подлежат введению в Базу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