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d504" w14:textId="ad3d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об использовании резервных источников электроэнергии в чрезвычайных ситуациях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августа 1996 г. N 1049. Утратило силу - постановлением Правительства РК от 9 февраля 2005 г. N 124 (P050124)</w:t>
      </w:r>
    </w:p>
    <w:p>
      <w:pPr>
        <w:spacing w:after="0"/>
        <w:ind w:left="0"/>
        <w:jc w:val="both"/>
      </w:pPr>
      <w:bookmarkStart w:name="z0" w:id="0"/>
      <w:r>
        <w:rPr>
          <w:rFonts w:ascii="Times New Roman"/>
          <w:b w:val="false"/>
          <w:i w:val="false"/>
          <w:color w:val="000000"/>
          <w:sz w:val="28"/>
        </w:rPr>
        <w:t>
      В соответствии с пунктом 1 статьи 19 Указа Президента Республики Казахстан, имеющего силу Закона, от 23 декабря 1995 года N 2724 </w:t>
      </w:r>
      <w:r>
        <w:rPr>
          <w:rFonts w:ascii="Times New Roman"/>
          <w:b w:val="false"/>
          <w:i w:val="false"/>
          <w:color w:val="000000"/>
          <w:sz w:val="28"/>
        </w:rPr>
        <w:t xml:space="preserve">U952724_ </w:t>
      </w:r>
      <w:r>
        <w:rPr>
          <w:rFonts w:ascii="Times New Roman"/>
          <w:b w:val="false"/>
          <w:i w:val="false"/>
          <w:color w:val="000000"/>
          <w:sz w:val="28"/>
        </w:rPr>
        <w:t xml:space="preserve"> "Об электроэнергетике" Правительство Республики Казахстан постановляет: </w:t>
      </w:r>
      <w:r>
        <w:br/>
      </w:r>
      <w:r>
        <w:rPr>
          <w:rFonts w:ascii="Times New Roman"/>
          <w:b w:val="false"/>
          <w:i w:val="false"/>
          <w:color w:val="000000"/>
          <w:sz w:val="28"/>
        </w:rPr>
        <w:t xml:space="preserve">
      1. Утвердить прилагаемое Положение об использовании резервных источников электроэнергии в чрезвычайных ситуациях. </w:t>
      </w:r>
      <w:r>
        <w:br/>
      </w:r>
      <w:r>
        <w:rPr>
          <w:rFonts w:ascii="Times New Roman"/>
          <w:b w:val="false"/>
          <w:i w:val="false"/>
          <w:color w:val="000000"/>
          <w:sz w:val="28"/>
        </w:rPr>
        <w:t xml:space="preserve">
      2. Возложить на Министерство энергетики и угольной промышленности Республики Казахстан контроль за ходом реализации настоящего постановления и проведение единой технической политики в области применения независимых источников электроэнергии. </w:t>
      </w:r>
    </w:p>
    <w:bookmarkEnd w:id="0"/>
    <w:bookmarkStart w:name="z1" w:id="1"/>
    <w:p>
      <w:pPr>
        <w:spacing w:after="0"/>
        <w:ind w:left="0"/>
        <w:jc w:val="both"/>
      </w:pPr>
      <w:r>
        <w:rPr>
          <w:rFonts w:ascii="Times New Roman"/>
          <w:b w:val="false"/>
          <w:i w:val="false"/>
          <w:color w:val="000000"/>
          <w:sz w:val="28"/>
        </w:rPr>
        <w:t xml:space="preserve">
     Заместитель </w:t>
      </w:r>
      <w:r>
        <w:br/>
      </w:r>
      <w:r>
        <w:rPr>
          <w:rFonts w:ascii="Times New Roman"/>
          <w:b w:val="false"/>
          <w:i w:val="false"/>
          <w:color w:val="000000"/>
          <w:sz w:val="28"/>
        </w:rPr>
        <w:t xml:space="preserve">
  Премьер-Министра </w:t>
      </w:r>
      <w:r>
        <w:br/>
      </w:r>
      <w:r>
        <w:rPr>
          <w:rFonts w:ascii="Times New Roman"/>
          <w:b w:val="false"/>
          <w:i w:val="false"/>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августа 1996 г. N 1049 </w:t>
      </w:r>
    </w:p>
    <w:bookmarkEnd w:id="2"/>
    <w:bookmarkStart w:name="z3" w:id="3"/>
    <w:p>
      <w:pPr>
        <w:spacing w:after="0"/>
        <w:ind w:left="0"/>
        <w:jc w:val="both"/>
      </w:pPr>
      <w:r>
        <w:rPr>
          <w:rFonts w:ascii="Times New Roman"/>
          <w:b w:val="false"/>
          <w:i w:val="false"/>
          <w:color w:val="000000"/>
          <w:sz w:val="28"/>
        </w:rPr>
        <w:t xml:space="preserve">
                              Положение </w:t>
      </w:r>
      <w:r>
        <w:br/>
      </w:r>
      <w:r>
        <w:rPr>
          <w:rFonts w:ascii="Times New Roman"/>
          <w:b w:val="false"/>
          <w:i w:val="false"/>
          <w:color w:val="000000"/>
          <w:sz w:val="28"/>
        </w:rPr>
        <w:t xml:space="preserve">
                об использовании резервных источников </w:t>
      </w:r>
      <w:r>
        <w:br/>
      </w:r>
      <w:r>
        <w:rPr>
          <w:rFonts w:ascii="Times New Roman"/>
          <w:b w:val="false"/>
          <w:i w:val="false"/>
          <w:color w:val="000000"/>
          <w:sz w:val="28"/>
        </w:rPr>
        <w:t xml:space="preserve">
               электроэнергии в чрезвычайных ситуациях </w:t>
      </w:r>
    </w:p>
    <w:bookmarkEnd w:id="3"/>
    <w:bookmarkStart w:name="z4" w:id="4"/>
    <w:p>
      <w:pPr>
        <w:spacing w:after="0"/>
        <w:ind w:left="0"/>
        <w:jc w:val="both"/>
      </w:pPr>
      <w:r>
        <w:rPr>
          <w:rFonts w:ascii="Times New Roman"/>
          <w:b w:val="false"/>
          <w:i w:val="false"/>
          <w:color w:val="000000"/>
          <w:sz w:val="28"/>
        </w:rPr>
        <w:t xml:space="preserve">
                          1. Общие положения </w:t>
      </w:r>
    </w:p>
    <w:bookmarkEnd w:id="4"/>
    <w:bookmarkStart w:name="z5" w:id="5"/>
    <w:p>
      <w:pPr>
        <w:spacing w:after="0"/>
        <w:ind w:left="0"/>
        <w:jc w:val="both"/>
      </w:pPr>
      <w:r>
        <w:rPr>
          <w:rFonts w:ascii="Times New Roman"/>
          <w:b w:val="false"/>
          <w:i w:val="false"/>
          <w:color w:val="000000"/>
          <w:sz w:val="28"/>
        </w:rPr>
        <w:t xml:space="preserve">
      1. Чрезвычайные ситуации могут возникнуть природного и техногенного характера, вызванные стихийными бедствиями и промышленными авариями (землетрясениями, наводнениями, интенсивными гололедно-изморозевыми отложениями, пожарами, взрывами, обрушением зданий, прорывами плотин и тому подобное). </w:t>
      </w:r>
      <w:r>
        <w:br/>
      </w:r>
      <w:r>
        <w:rPr>
          <w:rFonts w:ascii="Times New Roman"/>
          <w:b w:val="false"/>
          <w:i w:val="false"/>
          <w:color w:val="000000"/>
          <w:sz w:val="28"/>
        </w:rPr>
        <w:t xml:space="preserve">
      При этом возможен одновременный отказ основной и резервной линии электроснабжения от централизованных энергоисточников питающих трансформаторных подстанций, приводящий к полному обесточиванию распределительной сети. </w:t>
      </w:r>
      <w:r>
        <w:br/>
      </w:r>
      <w:r>
        <w:rPr>
          <w:rFonts w:ascii="Times New Roman"/>
          <w:b w:val="false"/>
          <w:i w:val="false"/>
          <w:color w:val="000000"/>
          <w:sz w:val="28"/>
        </w:rPr>
        <w:t xml:space="preserve">
      2. Наиболее эффективным техническим средством гарантированного питания электроэнергией потребителей является собственный независимый (автономный) генерирующий источник электроснабжения (НИЭ). </w:t>
      </w:r>
      <w:r>
        <w:br/>
      </w:r>
      <w:r>
        <w:rPr>
          <w:rFonts w:ascii="Times New Roman"/>
          <w:b w:val="false"/>
          <w:i w:val="false"/>
          <w:color w:val="000000"/>
          <w:sz w:val="28"/>
        </w:rPr>
        <w:t xml:space="preserve">
      3. При возникновении чрезвычайной ситуации, вызвавшей разрушение или повреждение сетевых элементов системы централизованного электроснабжения, энергоснабжающая организация не несет перед ответственным потребителем материальной ответственности за вынужденное временное прекращение подачи электроэнергии на весь период проведения строительно-монтажных работ по восстановлению сооружений системы внешнего электроснабжения - период чрезвычайной ситуации в электроснабжении. </w:t>
      </w:r>
      <w:r>
        <w:br/>
      </w:r>
      <w:r>
        <w:rPr>
          <w:rFonts w:ascii="Times New Roman"/>
          <w:b w:val="false"/>
          <w:i w:val="false"/>
          <w:color w:val="000000"/>
          <w:sz w:val="28"/>
        </w:rPr>
        <w:t xml:space="preserve">
      4. В случае возникновения спорных ситуаций, вопросы разрешаются в установленном законодательством порядке. </w:t>
      </w:r>
      <w:r>
        <w:br/>
      </w:r>
      <w:r>
        <w:rPr>
          <w:rFonts w:ascii="Times New Roman"/>
          <w:b w:val="false"/>
          <w:i w:val="false"/>
          <w:color w:val="000000"/>
          <w:sz w:val="28"/>
        </w:rPr>
        <w:t xml:space="preserve">
      5. Период чрезвычайной ситуации в электроснабжении объявляется специальным приказом руководителя энергоснабжающей организации, в зоне обслуживания которой произошло катастрофическое нарушение системы централизованного электроснабжения, согласованным с местной администрацией. </w:t>
      </w:r>
      <w:r>
        <w:br/>
      </w:r>
      <w:r>
        <w:rPr>
          <w:rFonts w:ascii="Times New Roman"/>
          <w:b w:val="false"/>
          <w:i w:val="false"/>
          <w:color w:val="000000"/>
          <w:sz w:val="28"/>
        </w:rPr>
        <w:t xml:space="preserve">
      6. Энергоснабжающая организация при выдаче технических условий на подключение к системе централизованного электроснабжения новых ответственных потребителей должна особо оговорить необходимость сооружения ими НИЭ. </w:t>
      </w:r>
      <w:r>
        <w:br/>
      </w:r>
      <w:r>
        <w:rPr>
          <w:rFonts w:ascii="Times New Roman"/>
          <w:b w:val="false"/>
          <w:i w:val="false"/>
          <w:color w:val="000000"/>
          <w:sz w:val="28"/>
        </w:rPr>
        <w:t xml:space="preserve">
      Сооружение и эксплуатацию НИЭ должны осуществлять потребители за счет собственных финансовых н материально-технических ресурсов. </w:t>
      </w:r>
    </w:p>
    <w:bookmarkEnd w:id="5"/>
    <w:bookmarkStart w:name="z6" w:id="6"/>
    <w:p>
      <w:pPr>
        <w:spacing w:after="0"/>
        <w:ind w:left="0"/>
        <w:jc w:val="both"/>
      </w:pPr>
      <w:r>
        <w:rPr>
          <w:rFonts w:ascii="Times New Roman"/>
          <w:b w:val="false"/>
          <w:i w:val="false"/>
          <w:color w:val="000000"/>
          <w:sz w:val="28"/>
        </w:rPr>
        <w:t xml:space="preserve">
               2. Компоновочно-технические решения НИЭ </w:t>
      </w:r>
    </w:p>
    <w:bookmarkEnd w:id="6"/>
    <w:bookmarkStart w:name="z7" w:id="7"/>
    <w:p>
      <w:pPr>
        <w:spacing w:after="0"/>
        <w:ind w:left="0"/>
        <w:jc w:val="both"/>
      </w:pPr>
      <w:r>
        <w:rPr>
          <w:rFonts w:ascii="Times New Roman"/>
          <w:b w:val="false"/>
          <w:i w:val="false"/>
          <w:color w:val="000000"/>
          <w:sz w:val="28"/>
        </w:rPr>
        <w:t xml:space="preserve">
      7. По способу конструктивно-технологического исполнения НИЭ могут быть стационарными или передвижными (мобильными), как правило, на пневмоходу. </w:t>
      </w:r>
      <w:r>
        <w:br/>
      </w:r>
      <w:r>
        <w:rPr>
          <w:rFonts w:ascii="Times New Roman"/>
          <w:b w:val="false"/>
          <w:i w:val="false"/>
          <w:color w:val="000000"/>
          <w:sz w:val="28"/>
        </w:rPr>
        <w:t xml:space="preserve">
      8. Стационарные НИЭ предназначаются для поддержания в работоспособном состоянии жизнеобеспечивающие технологические и инженерные сооружения, обеспечения безаварийной остановки производств потребителей, исключения расстройства сложных производственных процессов и предотвращения возникновения и развития техногенных аварий, а также при режимных мероприятиях по ограничению электропотребления. </w:t>
      </w:r>
      <w:r>
        <w:br/>
      </w:r>
      <w:r>
        <w:rPr>
          <w:rFonts w:ascii="Times New Roman"/>
          <w:b w:val="false"/>
          <w:i w:val="false"/>
          <w:color w:val="000000"/>
          <w:sz w:val="28"/>
        </w:rPr>
        <w:t xml:space="preserve">
      9. Передвижные НИЭ, наряду с частичным решением задач, оговоренных в пункте 10, в основном предназначаются для оперативного использования, с целью предотвращения развития аварий и проведения восстановительно-спасательных работ в случаях нарушения распределительной сети внутреннего электроснабжения, при ликвидации аварийных последствий, а также при ремонтных работах. </w:t>
      </w:r>
      <w:r>
        <w:br/>
      </w:r>
      <w:r>
        <w:rPr>
          <w:rFonts w:ascii="Times New Roman"/>
          <w:b w:val="false"/>
          <w:i w:val="false"/>
          <w:color w:val="000000"/>
          <w:sz w:val="28"/>
        </w:rPr>
        <w:t xml:space="preserve">
      10. Мощность НИЭ должна соответствовать суммарной мощности токоприемников резервируемых потребителей с учетом коэффициента спроса (одновременности) расчетной мощности. </w:t>
      </w:r>
      <w:r>
        <w:br/>
      </w:r>
      <w:r>
        <w:rPr>
          <w:rFonts w:ascii="Times New Roman"/>
          <w:b w:val="false"/>
          <w:i w:val="false"/>
          <w:color w:val="000000"/>
          <w:sz w:val="28"/>
        </w:rPr>
        <w:t xml:space="preserve">
      В целях уменьшения мощности НИЭ на период его работы должен быть введен принудительный график электроснабжения путем отключения токоприемников неответственных потребителей, а также сдвига во времени технологических производственных процессов. </w:t>
      </w:r>
      <w:r>
        <w:br/>
      </w:r>
      <w:r>
        <w:rPr>
          <w:rFonts w:ascii="Times New Roman"/>
          <w:b w:val="false"/>
          <w:i w:val="false"/>
          <w:color w:val="000000"/>
          <w:sz w:val="28"/>
        </w:rPr>
        <w:t xml:space="preserve">
      11. Передвижные НИЭ мощностью 30 кВт и более в чрезвычайных ситуациях рекомендуется подключать с помощью специального переключающего устройства к РУ 0,4 кВ потребительских подстанций в случае их сохранения в работоспособном состоянии и отсутствия повреждений распределительной сети 0,4 кВ. </w:t>
      </w:r>
      <w:r>
        <w:br/>
      </w:r>
      <w:r>
        <w:rPr>
          <w:rFonts w:ascii="Times New Roman"/>
          <w:b w:val="false"/>
          <w:i w:val="false"/>
          <w:color w:val="000000"/>
          <w:sz w:val="28"/>
        </w:rPr>
        <w:t xml:space="preserve">
      12. Стационарные НИЭ рекомендуется размещать в отдельно стоящем здании, рассчитанном на всевозможные воздействия, возникающие в результате природных стихийных явлений, свойственных району его размещения, а также на внешнюю ударную волну с избыточным давлением в соответствии с действующими нормативно-техническими документами. </w:t>
      </w:r>
      <w:r>
        <w:br/>
      </w:r>
      <w:r>
        <w:rPr>
          <w:rFonts w:ascii="Times New Roman"/>
          <w:b w:val="false"/>
          <w:i w:val="false"/>
          <w:color w:val="000000"/>
          <w:sz w:val="28"/>
        </w:rPr>
        <w:t xml:space="preserve">
      В сейсмических районах с величиной проектного землетрясения 7 баллов и выше проектирование должно осуществляться с учетом обеспечения сейсмичности строительных конструкций и технологического оборудования. </w:t>
      </w:r>
      <w:r>
        <w:br/>
      </w:r>
      <w:r>
        <w:rPr>
          <w:rFonts w:ascii="Times New Roman"/>
          <w:b w:val="false"/>
          <w:i w:val="false"/>
          <w:color w:val="000000"/>
          <w:sz w:val="28"/>
        </w:rPr>
        <w:t xml:space="preserve">
      13. Технические элементы стационарного НИЭ и относящаяся к нему арматура должны располагаться в одном здании с основным оборудованием. </w:t>
      </w:r>
      <w:r>
        <w:br/>
      </w:r>
      <w:r>
        <w:rPr>
          <w:rFonts w:ascii="Times New Roman"/>
          <w:b w:val="false"/>
          <w:i w:val="false"/>
          <w:color w:val="000000"/>
          <w:sz w:val="28"/>
        </w:rPr>
        <w:t xml:space="preserve">
      14. В качестве передвижного НИЭ, наряду с передвижными дизельными электростанциями, допустимо использование установленного на специальных салазках синхронного электрогенератора единой серии с самовозбуждением и приводом от внешнего (не связанного постоянно с этим генератором) мобильного передвижного двигателя, имеющего устройство (вал) отбора мощности с частотой вращения 1000 оборотов в минуту. </w:t>
      </w:r>
      <w:r>
        <w:br/>
      </w:r>
      <w:r>
        <w:rPr>
          <w:rFonts w:ascii="Times New Roman"/>
          <w:b w:val="false"/>
          <w:i w:val="false"/>
          <w:color w:val="000000"/>
          <w:sz w:val="28"/>
        </w:rPr>
        <w:t xml:space="preserve">
      15. Уровень автоматизации НИЭ допускается принимать по первой степени. </w:t>
      </w:r>
      <w:r>
        <w:br/>
      </w:r>
      <w:r>
        <w:rPr>
          <w:rFonts w:ascii="Times New Roman"/>
          <w:b w:val="false"/>
          <w:i w:val="false"/>
          <w:color w:val="000000"/>
          <w:sz w:val="28"/>
        </w:rPr>
        <w:t xml:space="preserve">
      16. В случае выхода из строя системы внутреннего электроснабжения ответственного потребителя, распределение электроэнергии от НИЭ должно осуществляться по временно прокладываемым линиям с использованием кабеля или самонесущих изолированных проводов (СИП), прокладываемых на высоте не менее 6 м от поверхности земли на кронштейнах по стенам зданий, либо с использованием временных опор. </w:t>
      </w:r>
      <w:r>
        <w:br/>
      </w:r>
      <w:r>
        <w:rPr>
          <w:rFonts w:ascii="Times New Roman"/>
          <w:b w:val="false"/>
          <w:i w:val="false"/>
          <w:color w:val="000000"/>
          <w:sz w:val="28"/>
        </w:rPr>
        <w:t xml:space="preserve">
      Для этих целей ответственный потребитель должен располагать неснижаемым аварийным запасом необходимых по длине марок СИП в комплекте с соответствующей линейной аппаратурой. </w:t>
      </w:r>
      <w:r>
        <w:br/>
      </w:r>
      <w:r>
        <w:rPr>
          <w:rFonts w:ascii="Times New Roman"/>
          <w:b w:val="false"/>
          <w:i w:val="false"/>
          <w:color w:val="000000"/>
          <w:sz w:val="28"/>
        </w:rPr>
        <w:t xml:space="preserve">
      17. Во всех случаях использования НИЭ должная быть исключена возможность обратной подачи напряжения от НИЭ в электрическую сеть, по которой прекратилась подача электроэнергии потребителю. </w:t>
      </w:r>
      <w:r>
        <w:br/>
      </w:r>
      <w:r>
        <w:rPr>
          <w:rFonts w:ascii="Times New Roman"/>
          <w:b w:val="false"/>
          <w:i w:val="false"/>
          <w:color w:val="000000"/>
          <w:sz w:val="28"/>
        </w:rPr>
        <w:t xml:space="preserve">
      Для этого должны быть предусмотрены соответствующие технические средства и разработаны необходимые эксплуатационные и должностные инструкции. </w:t>
      </w:r>
    </w:p>
    <w:bookmarkEnd w:id="7"/>
    <w:bookmarkStart w:name="z8" w:id="8"/>
    <w:p>
      <w:pPr>
        <w:spacing w:after="0"/>
        <w:ind w:left="0"/>
        <w:jc w:val="both"/>
      </w:pPr>
      <w:r>
        <w:rPr>
          <w:rFonts w:ascii="Times New Roman"/>
          <w:b w:val="false"/>
          <w:i w:val="false"/>
          <w:color w:val="000000"/>
          <w:sz w:val="28"/>
        </w:rPr>
        <w:t xml:space="preserve">
              3. Передвижные трансформаторные подстанции </w:t>
      </w:r>
    </w:p>
    <w:bookmarkEnd w:id="8"/>
    <w:bookmarkStart w:name="z9" w:id="9"/>
    <w:p>
      <w:pPr>
        <w:spacing w:after="0"/>
        <w:ind w:left="0"/>
        <w:jc w:val="both"/>
      </w:pPr>
      <w:r>
        <w:rPr>
          <w:rFonts w:ascii="Times New Roman"/>
          <w:b w:val="false"/>
          <w:i w:val="false"/>
          <w:color w:val="000000"/>
          <w:sz w:val="28"/>
        </w:rPr>
        <w:t xml:space="preserve">
      18. В качестве резервного элемента система централизованного электроснабжения, электроснабжающая организация (электросетевое предприятие) должна располагать парком передвижных распределительных трансформаторных подстанций (далее - подстанция). </w:t>
      </w:r>
      <w:r>
        <w:br/>
      </w:r>
      <w:r>
        <w:rPr>
          <w:rFonts w:ascii="Times New Roman"/>
          <w:b w:val="false"/>
          <w:i w:val="false"/>
          <w:color w:val="000000"/>
          <w:sz w:val="28"/>
        </w:rPr>
        <w:t xml:space="preserve">
      19. В качестве мобильного складского аварийного резерва для питающих центров системы централизованного электроснабжения должны быть использованы передвижные трансформаторные подстанции на пневмоходу с высшим напряжением 110, 35 или 10 кВ. </w:t>
      </w:r>
      <w:r>
        <w:br/>
      </w:r>
      <w:r>
        <w:rPr>
          <w:rFonts w:ascii="Times New Roman"/>
          <w:b w:val="false"/>
          <w:i w:val="false"/>
          <w:color w:val="000000"/>
          <w:sz w:val="28"/>
        </w:rPr>
        <w:t xml:space="preserve">
      20. Конструкция и габариты подстанции должны обеспечить возможность ее транспортировки по автомобильным дорогам с твердым покрытием и устойчивость в транспортном положении. </w:t>
      </w:r>
      <w:r>
        <w:br/>
      </w:r>
      <w:r>
        <w:rPr>
          <w:rFonts w:ascii="Times New Roman"/>
          <w:b w:val="false"/>
          <w:i w:val="false"/>
          <w:color w:val="000000"/>
          <w:sz w:val="28"/>
        </w:rPr>
        <w:t xml:space="preserve">
      Подстанция должна быть оборудована винтовыми домкратами, которые воспринимают всю нагрузку в транспортном положении. </w:t>
      </w:r>
      <w:r>
        <w:br/>
      </w:r>
      <w:r>
        <w:rPr>
          <w:rFonts w:ascii="Times New Roman"/>
          <w:b w:val="false"/>
          <w:i w:val="false"/>
          <w:color w:val="000000"/>
          <w:sz w:val="28"/>
        </w:rPr>
        <w:t xml:space="preserve">
      21. Подстанция предназначена для электроснабжения ответственных потребителей в период ремонтно-восстановительных работ, при замене основного оборудования на подстанции, поврежденной при возникновении чрезвычайной ситуации, и сохранении в работе питающей ее линии электропередачи. </w:t>
      </w:r>
      <w:r>
        <w:br/>
      </w:r>
      <w:r>
        <w:rPr>
          <w:rFonts w:ascii="Times New Roman"/>
          <w:b w:val="false"/>
          <w:i w:val="false"/>
          <w:color w:val="000000"/>
          <w:sz w:val="28"/>
        </w:rPr>
        <w:t xml:space="preserve">
      22. Для повышения эффективности, использования оборудования передвижной подстанции ее рекомендуется использовать: </w:t>
      </w:r>
      <w:r>
        <w:br/>
      </w:r>
      <w:r>
        <w:rPr>
          <w:rFonts w:ascii="Times New Roman"/>
          <w:b w:val="false"/>
          <w:i w:val="false"/>
          <w:color w:val="000000"/>
          <w:sz w:val="28"/>
        </w:rPr>
        <w:t xml:space="preserve">
      в период планово предупредительных и капитальных ремонтов и технического обслуживания действующих однотрансформаторных подстанций; </w:t>
      </w:r>
      <w:r>
        <w:br/>
      </w:r>
      <w:r>
        <w:rPr>
          <w:rFonts w:ascii="Times New Roman"/>
          <w:b w:val="false"/>
          <w:i w:val="false"/>
          <w:color w:val="000000"/>
          <w:sz w:val="28"/>
        </w:rPr>
        <w:t xml:space="preserve">
      в качестве резервной установки на время пиковых сезонных нагрузок при недостатке трансформаторной мощности; </w:t>
      </w:r>
      <w:r>
        <w:br/>
      </w:r>
      <w:r>
        <w:rPr>
          <w:rFonts w:ascii="Times New Roman"/>
          <w:b w:val="false"/>
          <w:i w:val="false"/>
          <w:color w:val="000000"/>
          <w:sz w:val="28"/>
        </w:rPr>
        <w:t xml:space="preserve">
      для пионерного электроснабжения новых строительных площадок, а также сооружений протяженных промышленных объектов вдоль действующих ВЛ 110 и 35 кв; </w:t>
      </w:r>
      <w:r>
        <w:br/>
      </w:r>
      <w:r>
        <w:rPr>
          <w:rFonts w:ascii="Times New Roman"/>
          <w:b w:val="false"/>
          <w:i w:val="false"/>
          <w:color w:val="000000"/>
          <w:sz w:val="28"/>
        </w:rPr>
        <w:t xml:space="preserve">
      для организации плавки гололеда на проводах и тросах ВЛ.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